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77101C" w:rsidR="00B70725" w:rsidRDefault="00D73859">
      <w:pPr>
        <w:rPr>
          <w:u w:val="single"/>
        </w:rPr>
      </w:pPr>
      <w:r w:rsidRPr="0077101C">
        <w:rPr>
          <w:u w:val="single"/>
        </w:rPr>
        <w:t>Dodatečné informace:</w:t>
      </w:r>
    </w:p>
    <w:p w:rsidRPr="00D73859" w:rsidR="00D73859" w:rsidRDefault="00D73859"/>
    <w:p w:rsidRPr="00D73859" w:rsidR="00D73859" w:rsidP="00D73859" w:rsidRDefault="00D73859">
      <w:pPr>
        <w:spacing w:after="0" w:line="240" w:lineRule="auto"/>
        <w:jc w:val="both"/>
      </w:pPr>
      <w:r w:rsidRPr="00D73859">
        <w:t>Vážení,</w:t>
      </w:r>
    </w:p>
    <w:p w:rsidRPr="00D73859" w:rsidR="00D73859" w:rsidP="00D73859" w:rsidRDefault="00D73859">
      <w:pPr>
        <w:spacing w:after="0" w:line="240" w:lineRule="auto"/>
        <w:jc w:val="both"/>
      </w:pPr>
      <w:r w:rsidRPr="00D73859">
        <w:t> </w:t>
      </w:r>
    </w:p>
    <w:p w:rsidRPr="00D73859" w:rsidR="00D73859" w:rsidP="00D73859" w:rsidRDefault="00D73859">
      <w:pPr>
        <w:spacing w:after="0" w:line="240" w:lineRule="auto"/>
        <w:jc w:val="both"/>
      </w:pPr>
      <w:r w:rsidRPr="00D73859">
        <w:t>Česká republika – Ministerstvo kultury, jako zadavatel veřejné zakázky s názvem „</w:t>
      </w:r>
      <w:r w:rsidRPr="00D73859">
        <w:rPr>
          <w:i/>
          <w:iCs/>
        </w:rPr>
        <w:t>Vytvoření jednotného standardu metodiky projektového řízení</w:t>
      </w:r>
      <w:r>
        <w:t xml:space="preserve">“ obdržel dne 12. 12. a 15. 12. </w:t>
      </w:r>
      <w:r w:rsidRPr="00D73859">
        <w:t>2014 písemnou žádost o poskytnutí dodatečných informací k zadávacím podmínkám předmětné veřejné zakázky. K jednotlivým dotazům zadavatel uvádí následující:</w:t>
      </w:r>
    </w:p>
    <w:p w:rsidRPr="00D73859" w:rsidR="00D73859" w:rsidP="00D73859" w:rsidRDefault="00D73859">
      <w:pPr>
        <w:spacing w:after="0" w:line="240" w:lineRule="auto"/>
        <w:jc w:val="both"/>
      </w:pPr>
      <w:r w:rsidRPr="00D73859">
        <w:t> </w:t>
      </w:r>
    </w:p>
    <w:p w:rsidRPr="00D73859" w:rsidR="00D73859" w:rsidP="00D73859" w:rsidRDefault="00D73859">
      <w:pPr>
        <w:spacing w:after="0" w:line="240" w:lineRule="auto"/>
        <w:jc w:val="both"/>
      </w:pPr>
      <w:r w:rsidRPr="00D73859">
        <w:rPr>
          <w:u w:val="single"/>
        </w:rPr>
        <w:t>Dotaz č. 1</w:t>
      </w:r>
      <w:r w:rsidRPr="00D73859">
        <w:t>:</w:t>
      </w:r>
    </w:p>
    <w:p w:rsidRPr="00D73859" w:rsidR="00D73859" w:rsidP="00D73859" w:rsidRDefault="00D73859">
      <w:pPr>
        <w:spacing w:after="0" w:line="240" w:lineRule="auto"/>
        <w:jc w:val="both"/>
      </w:pPr>
      <w:r w:rsidRPr="00D73859">
        <w:t> </w:t>
      </w:r>
    </w:p>
    <w:p w:rsidRPr="00D73859" w:rsidR="00D73859" w:rsidP="00D73859" w:rsidRDefault="00D73859">
      <w:pPr>
        <w:spacing w:after="0" w:line="240" w:lineRule="auto"/>
        <w:jc w:val="both"/>
      </w:pPr>
      <w:r w:rsidRPr="00D73859">
        <w:t>„</w:t>
      </w:r>
      <w:r w:rsidRPr="00D73859">
        <w:rPr>
          <w:i/>
          <w:iCs/>
        </w:rPr>
        <w:t>Dovolte mi se na Vás obrátit s dotazem týkající se kvalifikačních předpokladů. V zadávací dokumentaci odst. 7.4.1. je uvedeno, že splnění technických kvalifikačních předpokladů prokáže dodavatel předložením seznamu významných služeb poskytnutých dodavatelem v posledních 5 letech. Dále, v upřesňujících požadavcích na služby, je už ale uvedeno interval posledních 3 let. Chci se tedy ujistit, která doba pro předložení referenčních služeb je platná</w:t>
      </w:r>
      <w:r w:rsidRPr="00D73859">
        <w:t>.“</w:t>
      </w:r>
    </w:p>
    <w:p w:rsidRPr="00D73859" w:rsidR="00D73859" w:rsidP="00D73859" w:rsidRDefault="00D73859">
      <w:pPr>
        <w:spacing w:after="0" w:line="240" w:lineRule="auto"/>
        <w:jc w:val="both"/>
      </w:pPr>
      <w:r w:rsidRPr="00D73859">
        <w:t> </w:t>
      </w:r>
    </w:p>
    <w:p w:rsidRPr="00D73859" w:rsidR="00D73859" w:rsidP="00D73859" w:rsidRDefault="00D73859">
      <w:pPr>
        <w:spacing w:after="0" w:line="240" w:lineRule="auto"/>
        <w:jc w:val="both"/>
      </w:pPr>
      <w:r w:rsidRPr="00D73859">
        <w:rPr>
          <w:u w:val="single"/>
        </w:rPr>
        <w:t>Odpověď</w:t>
      </w:r>
      <w:r w:rsidRPr="00D73859">
        <w:t>:</w:t>
      </w:r>
    </w:p>
    <w:p w:rsidRPr="00D73859" w:rsidR="00D73859" w:rsidP="00D73859" w:rsidRDefault="00D73859">
      <w:pPr>
        <w:spacing w:after="0" w:line="240" w:lineRule="auto"/>
        <w:jc w:val="both"/>
      </w:pPr>
      <w:r w:rsidRPr="00D73859">
        <w:t> </w:t>
      </w:r>
    </w:p>
    <w:p w:rsidRPr="00D73859" w:rsidR="00D73859" w:rsidP="00D73859" w:rsidRDefault="00D73859">
      <w:pPr>
        <w:spacing w:after="0" w:line="240" w:lineRule="auto"/>
        <w:jc w:val="both"/>
      </w:pPr>
      <w:r w:rsidRPr="00D73859">
        <w:t xml:space="preserve">K tomuto dotazu zadavatel pro vyloučení všech pochybností a pro zachování správné interpretace zadávacích podmínek uvádí, že z předloženého seznamu významných služeb a jednotlivých osvědčení dle bodu 7.4.1. zadávací dokumentace musí vyplývat, že uchazeč realizoval požadované významné služby </w:t>
      </w:r>
      <w:r w:rsidRPr="00D73859">
        <w:rPr>
          <w:b/>
          <w:bCs/>
          <w:u w:val="single"/>
        </w:rPr>
        <w:t>v poslední třech (3) letech</w:t>
      </w:r>
      <w:r w:rsidRPr="00D73859">
        <w:t xml:space="preserve">, jak je správně uvedeno v rámci požadavků na jednotlivé významné zakázky. Z uvedeného je proto zřejmé, že obecný údaj uvedený v odst. 7.4.1. „5 let“ se neuplatní. </w:t>
      </w:r>
    </w:p>
    <w:p w:rsidRPr="00D73859" w:rsidR="00D73859" w:rsidP="00D73859" w:rsidRDefault="00D73859">
      <w:pPr>
        <w:spacing w:after="0" w:line="240" w:lineRule="auto"/>
        <w:jc w:val="both"/>
      </w:pPr>
      <w:r w:rsidRPr="00D73859">
        <w:t> </w:t>
      </w:r>
    </w:p>
    <w:p w:rsidRPr="00D73859" w:rsidR="00D73859" w:rsidP="00D73859" w:rsidRDefault="00D73859">
      <w:pPr>
        <w:spacing w:after="0" w:line="240" w:lineRule="auto"/>
        <w:jc w:val="both"/>
      </w:pPr>
      <w:r w:rsidRPr="00D73859">
        <w:rPr>
          <w:u w:val="single"/>
        </w:rPr>
        <w:t>Dotaz č. 2</w:t>
      </w:r>
      <w:r w:rsidRPr="00D73859">
        <w:t>:</w:t>
      </w:r>
    </w:p>
    <w:p w:rsidRPr="00D73859" w:rsidR="00D73859" w:rsidP="00D73859" w:rsidRDefault="00D73859">
      <w:pPr>
        <w:spacing w:after="0" w:line="240" w:lineRule="auto"/>
        <w:jc w:val="both"/>
      </w:pPr>
      <w:r w:rsidRPr="00D73859">
        <w:t> </w:t>
      </w:r>
    </w:p>
    <w:p w:rsidRPr="00D73859" w:rsidR="00D73859" w:rsidP="00D73859" w:rsidRDefault="00D73859">
      <w:pPr>
        <w:spacing w:after="0" w:line="240" w:lineRule="auto"/>
        <w:jc w:val="both"/>
      </w:pPr>
      <w:r w:rsidRPr="00D73859">
        <w:t>„</w:t>
      </w:r>
      <w:r w:rsidRPr="00D73859">
        <w:rPr>
          <w:i/>
          <w:iCs/>
        </w:rPr>
        <w:t>Dle zadávací dokumentace je předpokládaná a současně nejvyšší hodnota veřejné zakázky 826 446,- Kč bez DPH což odpovídá 1 000 000,- včetně DPH. Dle bodu 4.1.3. Zadávací dokumentace jsou součástí veřejné zakázky body a) až i), přičemž samotná předpokládaná hodnota bodů a), b) a e) činí dohromady 1 271 900,- Kč včetně DPH. Tabulka cenové nabídky zahrnuje všechny části a) až i). Prosím tedy vysvětlení, případně o korekci zadávací dokumentace.</w:t>
      </w:r>
      <w:r w:rsidRPr="00D73859">
        <w:t>“</w:t>
      </w:r>
    </w:p>
    <w:p w:rsidRPr="00D73859" w:rsidR="00D73859" w:rsidP="00D73859" w:rsidRDefault="00D73859">
      <w:pPr>
        <w:spacing w:after="0" w:line="240" w:lineRule="auto"/>
        <w:jc w:val="both"/>
      </w:pPr>
      <w:r w:rsidRPr="00D73859">
        <w:t> </w:t>
      </w:r>
    </w:p>
    <w:p w:rsidRPr="00D73859" w:rsidR="00D73859" w:rsidP="00D73859" w:rsidRDefault="00D73859">
      <w:pPr>
        <w:spacing w:after="0" w:line="240" w:lineRule="auto"/>
        <w:jc w:val="both"/>
      </w:pPr>
      <w:r w:rsidRPr="00D73859">
        <w:rPr>
          <w:u w:val="single"/>
        </w:rPr>
        <w:t>Odpověď</w:t>
      </w:r>
      <w:r w:rsidRPr="00D73859">
        <w:t>:</w:t>
      </w:r>
    </w:p>
    <w:p w:rsidRPr="00D73859" w:rsidR="00D73859" w:rsidP="00D73859" w:rsidRDefault="00D73859">
      <w:pPr>
        <w:spacing w:after="0" w:line="240" w:lineRule="auto"/>
        <w:jc w:val="both"/>
      </w:pPr>
      <w:r w:rsidRPr="00D73859">
        <w:t> </w:t>
      </w:r>
    </w:p>
    <w:p w:rsidRPr="00D73859" w:rsidR="00D73859" w:rsidP="00D73859" w:rsidRDefault="00D73859">
      <w:pPr>
        <w:spacing w:after="0" w:line="240" w:lineRule="auto"/>
        <w:jc w:val="both"/>
      </w:pPr>
      <w:r w:rsidRPr="00D73859">
        <w:t xml:space="preserve">„Projekt „Vytvoření a implementace jednotné resortní metodiky projektového řízení Ministerstva kultury“ jako celek obsahuje několik veřejných zakázek (dále jen „VZ“), mj. také VZ „SW technologie projektového řízení“ (dále jen „VZ SW“), VZ „SW centralizace dokumentového uložiště projektů“ (dále jen „VZ DMS“) a VZ „Internetová stránka projektového řízení MK“ (dále jen „VZ WWW“). Tyto tři VZ nejsou součástí plnění v rámci zde řešené VZ „Vytvoření jednotného standardu metodiky projektového řízení“. Vítězný uchazeč VZ „Vytvoření jednotného standardu metodiky projektového řízení“ ovšem v rámci předmětu plnění mj. připraví Technické dokumentace k VZ SW, VZ DMS a VZ WWW, které budou komplexním podkladem pro zadávací řízení těchto tří veřejných zakázek. Předpokládané hodnoty uvedené u VZ SW, VZ DMS a VZ WWW uvedené v bodě 4.1.3 zadávací dokumentace slouží uchazečům k vytvoření orientační představy rozsahu plnění. Tyto předpokládané hodnoty nejsou součástí předpokládané hodnoty zde poptávané veřejné zakázky.“ </w:t>
      </w:r>
    </w:p>
    <w:p w:rsidR="00D73859" w:rsidP="00D73859" w:rsidRDefault="00D73859">
      <w:pPr>
        <w:spacing w:after="0" w:line="240" w:lineRule="auto"/>
        <w:jc w:val="both"/>
        <w:rPr>
          <w:u w:val="single"/>
        </w:rPr>
      </w:pPr>
    </w:p>
    <w:p w:rsidRPr="00D73859" w:rsidR="00D73859" w:rsidP="00D73859" w:rsidRDefault="00D73859">
      <w:pPr>
        <w:spacing w:after="0" w:line="240" w:lineRule="auto"/>
        <w:jc w:val="both"/>
      </w:pPr>
      <w:r>
        <w:rPr>
          <w:u w:val="single"/>
        </w:rPr>
        <w:t>Dotaz č. 3</w:t>
      </w:r>
      <w:r w:rsidRPr="00D73859">
        <w:t>:</w:t>
      </w:r>
    </w:p>
    <w:p w:rsidRPr="00D73859" w:rsidR="00D73859" w:rsidP="00D73859" w:rsidRDefault="00D73859">
      <w:pPr>
        <w:spacing w:after="0" w:line="240" w:lineRule="auto"/>
        <w:jc w:val="both"/>
      </w:pPr>
      <w:r w:rsidRPr="00D73859">
        <w:t> </w:t>
      </w:r>
    </w:p>
    <w:p w:rsidRPr="00D73859" w:rsidR="00D73859" w:rsidP="00D73859" w:rsidRDefault="00D73859">
      <w:pPr>
        <w:spacing w:after="0" w:line="240" w:lineRule="auto"/>
        <w:jc w:val="both"/>
      </w:pPr>
      <w:r w:rsidRPr="00D73859">
        <w:t>„</w:t>
      </w:r>
      <w:r w:rsidRPr="00D73859">
        <w:rPr>
          <w:i/>
          <w:iCs/>
        </w:rPr>
        <w:t xml:space="preserve">Dobrý den, máme dotaz k požadavku na prokázání technických </w:t>
      </w:r>
      <w:proofErr w:type="spellStart"/>
      <w:r w:rsidRPr="00D73859">
        <w:rPr>
          <w:i/>
          <w:iCs/>
        </w:rPr>
        <w:t>kvalifikač</w:t>
      </w:r>
      <w:proofErr w:type="spellEnd"/>
      <w:r w:rsidRPr="00D73859">
        <w:rPr>
          <w:i/>
          <w:iCs/>
        </w:rPr>
        <w:t>. předpokladů - 7.4.1. Seznam významných služeb: Je možné více požadovaných kritérií pokrýt jednou zakázkou, která obsahovala více těchto požadovaných kritérií, např. zavedení jednotného systému projektového řízení a zároveň služby projektového řízení?</w:t>
      </w:r>
      <w:r w:rsidRPr="00D73859">
        <w:t>“</w:t>
      </w:r>
    </w:p>
    <w:p w:rsidRPr="00D73859" w:rsidR="00D73859" w:rsidP="00D73859" w:rsidRDefault="00D73859">
      <w:pPr>
        <w:spacing w:after="0" w:line="240" w:lineRule="auto"/>
        <w:jc w:val="both"/>
      </w:pPr>
      <w:r w:rsidRPr="00D73859">
        <w:t> </w:t>
      </w:r>
    </w:p>
    <w:p w:rsidRPr="00D73859" w:rsidR="00D73859" w:rsidP="00D73859" w:rsidRDefault="00D73859">
      <w:pPr>
        <w:spacing w:after="0" w:line="240" w:lineRule="auto"/>
        <w:jc w:val="both"/>
      </w:pPr>
      <w:r w:rsidRPr="00D73859">
        <w:rPr>
          <w:u w:val="single"/>
        </w:rPr>
        <w:t>Odpověď</w:t>
      </w:r>
      <w:r w:rsidRPr="00D73859">
        <w:t>:</w:t>
      </w:r>
    </w:p>
    <w:p w:rsidRPr="00D73859" w:rsidR="00D73859" w:rsidP="00D73859" w:rsidRDefault="00D73859">
      <w:pPr>
        <w:spacing w:after="0" w:line="240" w:lineRule="auto"/>
        <w:jc w:val="both"/>
      </w:pPr>
      <w:r w:rsidRPr="00D73859">
        <w:t> </w:t>
      </w:r>
    </w:p>
    <w:p w:rsidRPr="00D73859" w:rsidR="00D73859" w:rsidP="00D73859" w:rsidRDefault="00D73859">
      <w:pPr>
        <w:spacing w:after="0" w:line="240" w:lineRule="auto"/>
        <w:jc w:val="both"/>
      </w:pPr>
      <w:r w:rsidRPr="00D73859">
        <w:t xml:space="preserve">K tomuto zadavatel uvádí, že není primárně rozhodující celkový počet uchazečem předkládaných referencí (samostatně poskytnutých významných služeb). Z dokladů předkládaných uchazečem k prokázání technických kvalifikačních předpokladů dle bodu 7.4.1. zadávací dokumentace však musí vyplývat, že uchazeč v požadovaném období realizoval všechny významné zakázky v zadavatelem požadovaném počtu, věcném zaměření a minimálním finančním rozsahu dle bodu 7.4.1. zadávací dokumentace. </w:t>
      </w:r>
    </w:p>
    <w:p w:rsidRPr="00D73859" w:rsidR="00D73859" w:rsidP="00D73859" w:rsidRDefault="00D73859">
      <w:pPr>
        <w:spacing w:after="0" w:line="240" w:lineRule="auto"/>
        <w:jc w:val="both"/>
      </w:pPr>
      <w:r w:rsidRPr="00D73859">
        <w:t> </w:t>
      </w:r>
    </w:p>
    <w:p w:rsidRPr="00D73859" w:rsidR="00D73859" w:rsidP="00D73859" w:rsidRDefault="00D73859">
      <w:pPr>
        <w:spacing w:after="0" w:line="240" w:lineRule="auto"/>
        <w:jc w:val="both"/>
      </w:pPr>
      <w:r w:rsidRPr="00D73859">
        <w:t>Ke shora uvedenému dotazu proto zadavatel uvádí, že je možné více požadovaných kritérií pokrýt například jednou zakázkou, ovšem za předkladu, že z předložených dokladů bude zcela zřejmé, že uchazečem předložená významná zakázka obsahuje oba typy plnění a zároveň splní požadovaný limit uvedený v bodu 7.4.1. zadávací dokumentace. Z dokladů předkládaných uchazečem pak musí vyplývat, že finanční rozsah části zavedení jednotného systému projektového řízení činí minimálně 350.000,-Kč bez DPH a finanční rozsah části projektového řízení činí minimálně 300.000,-Kč bez DPH. Celkový finanční rozsah takové zakázky musí být minimálně 650.000,-Kč bez DPH.</w:t>
      </w:r>
    </w:p>
    <w:p w:rsidRPr="00D73859" w:rsidR="00D73859" w:rsidP="00D73859" w:rsidRDefault="00D73859">
      <w:pPr>
        <w:spacing w:after="0" w:line="240" w:lineRule="auto"/>
        <w:jc w:val="both"/>
      </w:pPr>
      <w:r w:rsidRPr="00D73859">
        <w:t> </w:t>
      </w:r>
      <w:bookmarkStart w:name="_GoBack" w:id="0"/>
      <w:bookmarkEnd w:id="0"/>
    </w:p>
    <w:p w:rsidRPr="00D73859" w:rsidR="00D73859" w:rsidP="00D73859" w:rsidRDefault="00D73859">
      <w:pPr>
        <w:spacing w:after="0" w:line="240" w:lineRule="auto"/>
      </w:pPr>
      <w:r w:rsidRPr="00D73859">
        <w:t> </w:t>
      </w:r>
    </w:p>
    <w:p w:rsidRPr="00D73859" w:rsidR="00D73859" w:rsidP="00D73859" w:rsidRDefault="00D73859">
      <w:pPr>
        <w:spacing w:after="0" w:line="240" w:lineRule="auto"/>
        <w:jc w:val="both"/>
      </w:pPr>
      <w:r w:rsidRPr="00D73859">
        <w:rPr>
          <w:u w:val="single"/>
        </w:rPr>
        <w:t>Prodloužení lhůty pro podání nabídek</w:t>
      </w:r>
      <w:r w:rsidRPr="00D73859">
        <w:t>:</w:t>
      </w:r>
    </w:p>
    <w:p w:rsidRPr="00D73859" w:rsidR="00D73859" w:rsidP="00D73859" w:rsidRDefault="00D73859">
      <w:pPr>
        <w:spacing w:after="0" w:line="240" w:lineRule="auto"/>
        <w:jc w:val="both"/>
      </w:pPr>
      <w:r w:rsidRPr="00D73859">
        <w:t> </w:t>
      </w:r>
    </w:p>
    <w:p w:rsidRPr="00D73859" w:rsidR="00D73859" w:rsidP="00D73859" w:rsidRDefault="00D73859">
      <w:pPr>
        <w:spacing w:after="0" w:line="240" w:lineRule="auto"/>
        <w:jc w:val="both"/>
      </w:pPr>
      <w:r w:rsidRPr="00D73859">
        <w:t xml:space="preserve">Zadavatel pro úplnost uvádí, že tyto dodatečné informace nikterak nemění původní zadávací podmínky, ani na jejich základě nedochází k jakýmkoliv úpravám zadávacích podmínek. Pro zachování transparentnosti postupu zadavatele ve výběrovém řízení a z důvodu procesní opatrnosti však zadavatel zároveň touto dodatečnou informací prodlužuje lhůtu pro podání nabídek, </w:t>
      </w:r>
      <w:r w:rsidRPr="00D73859">
        <w:rPr>
          <w:b/>
          <w:bCs/>
        </w:rPr>
        <w:t>a to do 19. 12. 2014 do 10</w:t>
      </w:r>
      <w:r w:rsidRPr="00D73859">
        <w:rPr>
          <w:b/>
          <w:bCs/>
        </w:rPr>
        <w:t xml:space="preserve"> hodin</w:t>
      </w:r>
      <w:r w:rsidRPr="00D73859">
        <w:t>.</w:t>
      </w:r>
    </w:p>
    <w:p w:rsidR="00D73859" w:rsidP="00D73859" w:rsidRDefault="00D73859">
      <w:pPr>
        <w:jc w:val="both"/>
      </w:pPr>
    </w:p>
    <w:p w:rsidR="00D73859" w:rsidRDefault="00D73859"/>
    <w:sectPr w:rsidR="00D73859">
      <w:headerReference w:type="default" r:id="rId7"/>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1265A2" w:rsidP="001265A2" w:rsidRDefault="001265A2">
      <w:pPr>
        <w:spacing w:after="0" w:line="240" w:lineRule="auto"/>
      </w:pPr>
      <w:r>
        <w:separator/>
      </w:r>
    </w:p>
  </w:endnote>
  <w:endnote w:type="continuationSeparator" w:id="0">
    <w:p w:rsidR="001265A2" w:rsidP="001265A2" w:rsidRDefault="001265A2">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1265A2" w:rsidP="001265A2" w:rsidRDefault="001265A2">
      <w:pPr>
        <w:spacing w:after="0" w:line="240" w:lineRule="auto"/>
      </w:pPr>
      <w:r>
        <w:separator/>
      </w:r>
    </w:p>
  </w:footnote>
  <w:footnote w:type="continuationSeparator" w:id="0">
    <w:p w:rsidR="001265A2" w:rsidP="001265A2" w:rsidRDefault="001265A2">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1265A2" w:rsidP="001265A2" w:rsidRDefault="001265A2">
    <w:pPr>
      <w:jc w:val="center"/>
    </w:pPr>
    <w:r>
      <w:rPr>
        <w:noProof/>
        <w:lang w:eastAsia="cs-CZ"/>
      </w:rPr>
      <w:drawing>
        <wp:inline distT="0" distB="0" distL="0" distR="0">
          <wp:extent cx="5088835" cy="426369"/>
          <wp:effectExtent l="0" t="0" r="0" b="0"/>
          <wp:docPr id="1" name="Obrázek 1" descr="Bez "/>
          <wp:cNvGraphicFramePr>
            <a:graphicFrameLocks noChangeAspect="true"/>
          </wp:cNvGraphicFramePr>
          <a:graphic>
            <a:graphicData uri="http://schemas.openxmlformats.org/drawingml/2006/picture">
              <pic:pic>
                <pic:nvPicPr>
                  <pic:cNvPr id="0" name="Picture 1" descr="Bez "/>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088809" cy="426367"/>
                  </a:xfrm>
                  <a:prstGeom prst="rect">
                    <a:avLst/>
                  </a:prstGeom>
                  <a:noFill/>
                  <a:ln>
                    <a:noFill/>
                  </a:ln>
                </pic:spPr>
              </pic:pic>
            </a:graphicData>
          </a:graphic>
        </wp:inline>
      </w:drawing>
    </w:r>
  </w:p>
  <w:p w:rsidRPr="00593FF7" w:rsidR="001265A2" w:rsidP="001265A2" w:rsidRDefault="001265A2">
    <w:pPr>
      <w:jc w:val="center"/>
      <w:rPr>
        <w:rFonts w:ascii="Cambria" w:hAnsi="Cambria" w:cs="Calibri"/>
        <w:color w:val="000000"/>
        <w:sz w:val="16"/>
      </w:rPr>
    </w:pPr>
    <w:r w:rsidRPr="003162E6">
      <w:rPr>
        <w:rFonts w:ascii="Cambria" w:hAnsi="Cambria"/>
        <w:color w:val="000000"/>
        <w:sz w:val="16"/>
      </w:rPr>
      <w:t>Projekt „</w:t>
    </w:r>
    <w:r w:rsidRPr="00947C82">
      <w:rPr>
        <w:rFonts w:ascii="Cambria" w:hAnsi="Cambria" w:cs="Calibri"/>
        <w:color w:val="000000"/>
        <w:sz w:val="16"/>
        <w:szCs w:val="16"/>
      </w:rPr>
      <w:t>Vytvoření a implementace jednotné resortní metodiky projektového řízení Ministerstva kultury</w:t>
    </w:r>
    <w:r w:rsidRPr="003162E6">
      <w:rPr>
        <w:rFonts w:ascii="Cambria" w:hAnsi="Cambria"/>
        <w:color w:val="000000"/>
        <w:sz w:val="16"/>
      </w:rPr>
      <w:t xml:space="preserve">“ je spolufinancován z prostředků Evropské unie, Evropského </w:t>
    </w:r>
    <w:r>
      <w:rPr>
        <w:rFonts w:ascii="Cambria" w:hAnsi="Cambria" w:cs="Calibri"/>
        <w:color w:val="000000"/>
        <w:sz w:val="16"/>
        <w:szCs w:val="16"/>
      </w:rPr>
      <w:t xml:space="preserve">sociálního </w:t>
    </w:r>
    <w:r w:rsidRPr="003162E6">
      <w:rPr>
        <w:rFonts w:ascii="Cambria" w:hAnsi="Cambria"/>
        <w:color w:val="000000"/>
        <w:sz w:val="16"/>
      </w:rPr>
      <w:t>fondu</w:t>
    </w:r>
    <w:r w:rsidRPr="00593FF7">
      <w:rPr>
        <w:rFonts w:ascii="Cambria" w:hAnsi="Cambria" w:cs="Calibri"/>
        <w:color w:val="000000"/>
        <w:sz w:val="16"/>
        <w:szCs w:val="16"/>
      </w:rPr>
      <w:t>.</w:t>
    </w:r>
    <w:r w:rsidRPr="003162E6">
      <w:rPr>
        <w:rFonts w:ascii="Cambria" w:hAnsi="Cambria"/>
        <w:color w:val="000000"/>
        <w:sz w:val="16"/>
      </w:rPr>
      <w:t xml:space="preserve"> Registrační číslo projektu: CZ.1.</w:t>
    </w:r>
    <w:r w:rsidRPr="00947C82">
      <w:rPr>
        <w:rFonts w:ascii="Cambria" w:hAnsi="Cambria" w:cs="Calibri"/>
        <w:color w:val="000000"/>
        <w:sz w:val="16"/>
        <w:szCs w:val="16"/>
      </w:rPr>
      <w:t>04</w:t>
    </w:r>
    <w:r w:rsidRPr="003162E6">
      <w:rPr>
        <w:rFonts w:ascii="Cambria" w:hAnsi="Cambria"/>
        <w:color w:val="000000"/>
        <w:sz w:val="16"/>
      </w:rPr>
      <w:t>/4.1.00/</w:t>
    </w:r>
    <w:r w:rsidRPr="00947C82">
      <w:rPr>
        <w:rFonts w:ascii="Cambria" w:hAnsi="Cambria" w:cs="Calibri"/>
        <w:color w:val="000000"/>
        <w:sz w:val="16"/>
        <w:szCs w:val="16"/>
      </w:rPr>
      <w:t>C7.00002</w:t>
    </w:r>
    <w:r w:rsidRPr="00593FF7">
      <w:rPr>
        <w:rFonts w:ascii="Cambria" w:hAnsi="Cambria" w:cs="Calibri"/>
        <w:color w:val="000000"/>
        <w:sz w:val="16"/>
        <w:szCs w:val="16"/>
      </w:rPr>
      <w:t>.</w:t>
    </w:r>
  </w:p>
  <w:p w:rsidR="001265A2" w:rsidRDefault="001265A2">
    <w:pPr>
      <w:pStyle w:val="Zhlav"/>
    </w:pPr>
  </w:p>
</w:hdr>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859"/>
    <w:rsid w:val="001265A2"/>
    <w:rsid w:val="0077101C"/>
    <w:rsid w:val="00B70725"/>
    <w:rsid w:val="00D738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1265A2"/>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1265A2"/>
  </w:style>
  <w:style w:type="paragraph" w:styleId="Zpat">
    <w:name w:val="footer"/>
    <w:basedOn w:val="Normln"/>
    <w:link w:val="ZpatChar"/>
    <w:uiPriority w:val="99"/>
    <w:unhideWhenUsed/>
    <w:rsid w:val="001265A2"/>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1265A2"/>
  </w:style>
  <w:style w:type="paragraph" w:styleId="Textbubliny">
    <w:name w:val="Balloon Text"/>
    <w:basedOn w:val="Normln"/>
    <w:link w:val="TextbublinyChar"/>
    <w:uiPriority w:val="99"/>
    <w:semiHidden/>
    <w:unhideWhenUsed/>
    <w:rsid w:val="001265A2"/>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1265A2"/>
    <w:rPr>
      <w:rFonts w:ascii="Tahoma" w:hAnsi="Tahoma" w:cs="Tahoma"/>
      <w:sz w:val="16"/>
      <w:szCs w:val="16"/>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Zhlav" w:type="paragraph">
    <w:name w:val="header"/>
    <w:basedOn w:val="Normln"/>
    <w:link w:val="ZhlavChar"/>
    <w:uiPriority w:val="99"/>
    <w:unhideWhenUsed/>
    <w:rsid w:val="001265A2"/>
    <w:pPr>
      <w:tabs>
        <w:tab w:pos="4536" w:val="center"/>
        <w:tab w:pos="9072" w:val="right"/>
      </w:tabs>
      <w:spacing w:after="0" w:line="240" w:lineRule="auto"/>
    </w:pPr>
  </w:style>
  <w:style w:customStyle="1" w:styleId="ZhlavChar" w:type="character">
    <w:name w:val="Záhlaví Char"/>
    <w:basedOn w:val="Standardnpsmoodstavce"/>
    <w:link w:val="Zhlav"/>
    <w:uiPriority w:val="99"/>
    <w:rsid w:val="001265A2"/>
  </w:style>
  <w:style w:styleId="Zpat" w:type="paragraph">
    <w:name w:val="footer"/>
    <w:basedOn w:val="Normln"/>
    <w:link w:val="ZpatChar"/>
    <w:uiPriority w:val="99"/>
    <w:unhideWhenUsed/>
    <w:rsid w:val="001265A2"/>
    <w:pPr>
      <w:tabs>
        <w:tab w:pos="4536" w:val="center"/>
        <w:tab w:pos="9072" w:val="right"/>
      </w:tabs>
      <w:spacing w:after="0" w:line="240" w:lineRule="auto"/>
    </w:pPr>
  </w:style>
  <w:style w:customStyle="1" w:styleId="ZpatChar" w:type="character">
    <w:name w:val="Zápatí Char"/>
    <w:basedOn w:val="Standardnpsmoodstavce"/>
    <w:link w:val="Zpat"/>
    <w:uiPriority w:val="99"/>
    <w:rsid w:val="001265A2"/>
  </w:style>
  <w:style w:styleId="Textbubliny" w:type="paragraph">
    <w:name w:val="Balloon Text"/>
    <w:basedOn w:val="Normln"/>
    <w:link w:val="TextbublinyChar"/>
    <w:uiPriority w:val="99"/>
    <w:semiHidden/>
    <w:unhideWhenUsed/>
    <w:rsid w:val="001265A2"/>
    <w:pPr>
      <w:spacing w:after="0" w:line="240" w:lineRule="auto"/>
    </w:pPr>
    <w:rPr>
      <w:rFonts w:ascii="Tahoma" w:cs="Tahoma" w:hAnsi="Tahoma"/>
      <w:sz w:val="16"/>
      <w:szCs w:val="16"/>
    </w:rPr>
  </w:style>
  <w:style w:customStyle="1" w:styleId="TextbublinyChar" w:type="character">
    <w:name w:val="Text bubliny Char"/>
    <w:basedOn w:val="Standardnpsmoodstavce"/>
    <w:link w:val="Textbubliny"/>
    <w:uiPriority w:val="99"/>
    <w:semiHidden/>
    <w:rsid w:val="001265A2"/>
    <w:rPr>
      <w:rFonts w:ascii="Tahoma" w:cs="Tahoma" w:hAnsi="Tahoma"/>
      <w:sz w:val="16"/>
      <w:szCs w:val="16"/>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28002384">
      <w:bodyDiv w:val="true"/>
      <w:marLeft w:val="0"/>
      <w:marRight w:val="0"/>
      <w:marTop w:val="0"/>
      <w:marBottom w:val="0"/>
      <w:divBdr>
        <w:top w:val="none" w:color="auto" w:sz="0" w:space="0"/>
        <w:left w:val="none" w:color="auto" w:sz="0" w:space="0"/>
        <w:bottom w:val="none" w:color="auto" w:sz="0" w:space="0"/>
        <w:right w:val="none" w:color="auto" w:sz="0" w:space="0"/>
      </w:divBdr>
    </w:div>
    <w:div w:id="51716420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header1.xml" Type="http://schemas.openxmlformats.org/officeDocument/2006/relationships/header" Id="rId7"/>
    <Relationship Target="stylesWithEffects.xml" Type="http://schemas.microsoft.com/office/2007/relationships/stylesWithEffects" Id="rId2"/>
    <Relationship Target="styles.xml" Type="http://schemas.openxmlformats.org/officeDocument/2006/relationships/styles"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 Target="theme/theme1.xml" Type="http://schemas.openxmlformats.org/officeDocument/2006/relationships/theme"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MKČR</properties:Company>
  <properties:Pages>2</properties:Pages>
  <properties:Words>686</properties:Words>
  <properties:Characters>4053</properties:Characters>
  <properties:Lines>33</properties:Lines>
  <properties:Paragraphs>9</properties:Paragraphs>
  <properties:TotalTime>27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4730</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2014-12-16T06:27:00Z</dcterms:created>
  <dc:creator/>
  <cp:lastModifiedBy/>
  <dcterms:modified xmlns:xsi="http://www.w3.org/2001/XMLSchema-instance" xsi:type="dcterms:W3CDTF">2014-12-16T06:54:00Z</dcterms:modified>
  <cp:revision>1</cp:revision>
</cp:coreProperties>
</file>