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71430" w:rsidR="00661AAE" w:rsidP="006B02D1" w:rsidRDefault="00661AAE">
      <w:pPr>
        <w:spacing w:before="0" w:after="0" w:line="280" w:lineRule="atLeast"/>
      </w:pPr>
    </w:p>
    <w:p w:rsidRPr="00F71430" w:rsidR="00661AAE" w:rsidP="006B02D1" w:rsidRDefault="00661AAE">
      <w:pPr>
        <w:tabs>
          <w:tab w:val="left" w:pos="1275"/>
        </w:tabs>
        <w:spacing w:before="0" w:after="0" w:line="280" w:lineRule="atLeast"/>
        <w:jc w:val="center"/>
        <w:rPr>
          <w:smallCaps/>
          <w:sz w:val="40"/>
          <w:szCs w:val="40"/>
        </w:rPr>
      </w:pPr>
      <w:r w:rsidRPr="00F71430">
        <w:rPr>
          <w:smallCaps/>
          <w:sz w:val="40"/>
          <w:szCs w:val="40"/>
        </w:rPr>
        <w:t>Smlouva O poskytování služeb</w:t>
      </w:r>
    </w:p>
    <w:p w:rsidRPr="00F71430" w:rsidR="00661AAE" w:rsidP="006B02D1" w:rsidRDefault="00661AAE">
      <w:pPr>
        <w:tabs>
          <w:tab w:val="left" w:pos="1275"/>
        </w:tabs>
        <w:spacing w:before="0" w:after="0" w:line="280" w:lineRule="atLeast"/>
        <w:jc w:val="center"/>
        <w:rPr>
          <w:smallCaps/>
        </w:rPr>
      </w:pPr>
      <w:r w:rsidRPr="00F71430">
        <w:rPr>
          <w:smallCaps/>
        </w:rPr>
        <w:t>„</w:t>
      </w:r>
      <w:r>
        <w:rPr>
          <w:rFonts w:cs="Arial"/>
        </w:rPr>
        <w:t>Dodání služeb projektu Rodičovství a práce</w:t>
      </w:r>
      <w:r w:rsidRPr="00F71430">
        <w:rPr>
          <w:smallCaps/>
        </w:rPr>
        <w:t>“</w:t>
      </w:r>
    </w:p>
    <w:p w:rsidRPr="00F71430" w:rsidR="00661AAE" w:rsidP="006B02D1" w:rsidRDefault="00661AAE">
      <w:pPr>
        <w:tabs>
          <w:tab w:val="left" w:pos="1275"/>
        </w:tabs>
        <w:spacing w:before="0" w:after="0" w:line="280" w:lineRule="atLeast"/>
        <w:jc w:val="center"/>
      </w:pPr>
    </w:p>
    <w:p w:rsidRPr="00F71430" w:rsidR="00661AAE" w:rsidP="006B02D1" w:rsidRDefault="00661AAE">
      <w:pPr>
        <w:tabs>
          <w:tab w:val="left" w:pos="1275"/>
        </w:tabs>
        <w:spacing w:before="0" w:after="0" w:line="280" w:lineRule="atLeast"/>
      </w:pPr>
    </w:p>
    <w:p w:rsidRPr="00F71430" w:rsidR="00661AAE" w:rsidP="006B02D1" w:rsidRDefault="00661AAE">
      <w:pPr>
        <w:tabs>
          <w:tab w:val="left" w:pos="1275"/>
        </w:tabs>
        <w:spacing w:before="0" w:after="0" w:line="280" w:lineRule="atLeast"/>
        <w:rPr>
          <w:smallCaps/>
        </w:rPr>
      </w:pPr>
      <w:r w:rsidRPr="00F71430">
        <w:rPr>
          <w:smallCaps/>
        </w:rPr>
        <w:t>Smluvní strany</w:t>
      </w:r>
    </w:p>
    <w:p w:rsidRPr="00F71430" w:rsidR="00661AAE" w:rsidP="006B02D1" w:rsidRDefault="00661AAE">
      <w:pPr>
        <w:tabs>
          <w:tab w:val="left" w:pos="1275"/>
        </w:tabs>
        <w:spacing w:before="0" w:after="0" w:line="280" w:lineRule="atLeast"/>
        <w:rPr>
          <w:smallCaps/>
        </w:rPr>
      </w:pPr>
    </w:p>
    <w:p w:rsidRPr="00F71430" w:rsidR="00661AAE" w:rsidP="006B02D1" w:rsidRDefault="00661AAE">
      <w:pPr>
        <w:tabs>
          <w:tab w:val="left" w:pos="1418"/>
        </w:tabs>
        <w:spacing w:before="0" w:after="0" w:line="280" w:lineRule="atLeast"/>
        <w:rPr>
          <w:smallCaps/>
        </w:rPr>
      </w:pPr>
      <w:r w:rsidRPr="00F71430">
        <w:rPr>
          <w:smallCaps/>
        </w:rPr>
        <w:t>Česká republika – Úřad práce České republiky</w:t>
      </w:r>
    </w:p>
    <w:p w:rsidRPr="00F71430" w:rsidR="00661AAE" w:rsidP="006B02D1" w:rsidRDefault="00661AAE">
      <w:pPr>
        <w:tabs>
          <w:tab w:val="left" w:pos="1418"/>
        </w:tabs>
        <w:spacing w:before="0" w:after="0" w:line="280" w:lineRule="atLeast"/>
      </w:pPr>
      <w:r w:rsidRPr="00F71430">
        <w:t>sídlo:</w:t>
      </w:r>
      <w:r w:rsidRPr="00F71430">
        <w:tab/>
        <w:t>Karlovo náměstí 1359/1, Praha 2, 128 01</w:t>
      </w:r>
    </w:p>
    <w:p w:rsidRPr="00F71430" w:rsidR="00661AAE" w:rsidP="006B02D1" w:rsidRDefault="00661AAE">
      <w:pPr>
        <w:tabs>
          <w:tab w:val="left" w:pos="1418"/>
        </w:tabs>
        <w:spacing w:before="0" w:after="0" w:line="280" w:lineRule="atLeast"/>
      </w:pPr>
      <w:r w:rsidRPr="00F71430">
        <w:t xml:space="preserve">IČ: </w:t>
      </w:r>
      <w:r w:rsidRPr="00F71430">
        <w:tab/>
        <w:t>724 96</w:t>
      </w:r>
      <w:r w:rsidR="00E23B35">
        <w:t> </w:t>
      </w:r>
      <w:r w:rsidRPr="00F71430">
        <w:t>991</w:t>
      </w:r>
    </w:p>
    <w:p w:rsidR="00E23B35" w:rsidP="006B02D1" w:rsidRDefault="00E23B35">
      <w:pPr>
        <w:tabs>
          <w:tab w:val="left" w:pos="1418"/>
        </w:tabs>
        <w:spacing w:before="0" w:after="0" w:line="280" w:lineRule="atLeast"/>
      </w:pPr>
      <w:r w:rsidRPr="00C10FF0">
        <w:rPr>
          <w:snapToGrid w:val="false"/>
        </w:rPr>
        <w:t xml:space="preserve">Zastoupený: </w:t>
      </w:r>
      <w:r>
        <w:rPr>
          <w:snapToGrid w:val="false"/>
        </w:rPr>
        <w:tab/>
      </w:r>
      <w:r w:rsidRPr="00C10FF0">
        <w:rPr>
          <w:snapToGrid w:val="false"/>
        </w:rPr>
        <w:t>Ing. Marií Bílkovou, generální ředitelkou</w:t>
      </w:r>
    </w:p>
    <w:p w:rsidRPr="00F71430" w:rsidR="00661AAE" w:rsidP="006B02D1" w:rsidRDefault="00AB4F05">
      <w:pPr>
        <w:tabs>
          <w:tab w:val="left" w:pos="1418"/>
        </w:tabs>
        <w:spacing w:before="0" w:after="0" w:line="280" w:lineRule="atLeast"/>
      </w:pPr>
      <w:r>
        <w:t>Jednající</w:t>
      </w:r>
      <w:r w:rsidRPr="00F71430" w:rsidR="00661AAE">
        <w:t>:</w:t>
      </w:r>
      <w:r w:rsidRPr="00F71430" w:rsidR="00661AAE">
        <w:tab/>
      </w:r>
      <w:r w:rsidRPr="00E23B35" w:rsidR="00E23B35">
        <w:t>Bc. Renata Malichová, ředitelka Krajské pobočky ÚPČR Příbram</w:t>
      </w:r>
    </w:p>
    <w:p w:rsidRPr="00F71430" w:rsidR="00661AAE" w:rsidP="006B02D1" w:rsidRDefault="00661AAE">
      <w:pPr>
        <w:spacing w:before="0" w:after="0" w:line="280" w:lineRule="atLeast"/>
        <w:rPr>
          <w:rFonts w:cs="Arial"/>
          <w:sz w:val="20"/>
          <w:szCs w:val="20"/>
        </w:rPr>
      </w:pPr>
      <w:r w:rsidRPr="00F71430">
        <w:t>číslo účtu:</w:t>
      </w:r>
      <w:r w:rsidRPr="00F71430">
        <w:tab/>
      </w:r>
      <w:r w:rsidR="007F595E">
        <w:t>0-37823211</w:t>
      </w:r>
      <w:r w:rsidRPr="00F71430">
        <w:t>/0710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  <w:r w:rsidRPr="00F71430">
        <w:t>(dále jen „</w:t>
      </w:r>
      <w:r w:rsidRPr="00F71430">
        <w:rPr>
          <w:b/>
        </w:rPr>
        <w:t>objednatel</w:t>
      </w:r>
      <w:r w:rsidRPr="00F71430">
        <w:t>“)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  <w:r w:rsidRPr="00F71430">
        <w:t>název / jméno: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  <w:r w:rsidRPr="00F71430">
        <w:t>sídlo: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  <w:r w:rsidRPr="00F71430">
        <w:t>IČ: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  <w:r w:rsidRPr="00F71430">
        <w:t>zastoupený:</w:t>
      </w:r>
    </w:p>
    <w:p w:rsidRPr="00F71430" w:rsidR="00661AAE" w:rsidP="006B02D1" w:rsidRDefault="00661AAE">
      <w:pPr>
        <w:tabs>
          <w:tab w:val="left" w:pos="1418"/>
        </w:tabs>
        <w:spacing w:before="0" w:after="0" w:line="280" w:lineRule="atLeast"/>
      </w:pPr>
      <w:r w:rsidRPr="00F71430">
        <w:t>číslo účtu: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  <w:rPr>
          <w:b/>
        </w:rPr>
      </w:pPr>
      <w:r w:rsidRPr="00F71430">
        <w:t>(dále jen „</w:t>
      </w:r>
      <w:r w:rsidRPr="00F71430">
        <w:rPr>
          <w:b/>
        </w:rPr>
        <w:t>poskytovatel</w:t>
      </w:r>
      <w:r w:rsidRPr="00F71430">
        <w:t>“)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  <w:r w:rsidRPr="00F71430">
        <w:t>níže uvedeného dne, měsíce a roku, uzavřely podle ustanovení §  269 odst. 2 zákona č. 513/1991 Sb., obchodní zákoník, ve znění pozdějších předpisů, následující smlouvu o poskytování služeb vyplývajících z nadlimitní veřejné zakázky vedené pod názvem „</w:t>
      </w:r>
      <w:r>
        <w:rPr>
          <w:rFonts w:cs="Arial"/>
        </w:rPr>
        <w:t>Dodání služeb projektu Rodičovství a práce</w:t>
      </w:r>
      <w:r w:rsidRPr="00F71430">
        <w:t xml:space="preserve">“: 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</w:pPr>
      <w:r w:rsidRPr="00F71430">
        <w:t>Předmět smlouvy</w:t>
      </w:r>
    </w:p>
    <w:p w:rsidRPr="00F71430" w:rsidR="00661AAE" w:rsidP="006B02D1" w:rsidRDefault="00661AAE">
      <w:pPr>
        <w:spacing w:before="0" w:after="0" w:line="280" w:lineRule="atLeast"/>
        <w:ind w:left="720" w:hanging="720"/>
      </w:pPr>
      <w:r w:rsidRPr="00F71430">
        <w:t xml:space="preserve">I.1. </w:t>
      </w:r>
      <w:r w:rsidRPr="00F71430">
        <w:tab/>
        <w:t>Touto smlouvou se poskytovatel zavazuje realizovat projekt „</w:t>
      </w:r>
      <w:r>
        <w:rPr>
          <w:rFonts w:cs="Arial"/>
        </w:rPr>
        <w:t>Rodičovství a práce</w:t>
      </w:r>
      <w:r w:rsidRPr="00F71430">
        <w:t>“</w:t>
      </w:r>
      <w:r w:rsidRPr="00F71430">
        <w:rPr>
          <w:vertAlign w:val="superscript"/>
        </w:rPr>
        <w:footnoteReference w:id="1"/>
      </w:r>
      <w:r w:rsidRPr="00F71430">
        <w:t xml:space="preserve"> </w:t>
      </w:r>
      <w:r w:rsidR="00AB4F05">
        <w:t>specifikovaný</w:t>
      </w:r>
      <w:r w:rsidRPr="00F71430">
        <w:t xml:space="preserve"> a vymezený v „</w:t>
      </w:r>
      <w:r w:rsidRPr="00F71430">
        <w:rPr>
          <w:i/>
        </w:rPr>
        <w:t>Zadávací dokumentac</w:t>
      </w:r>
      <w:r w:rsidR="00AB4F05">
        <w:rPr>
          <w:i/>
        </w:rPr>
        <w:t>i</w:t>
      </w:r>
      <w:r w:rsidR="00391555">
        <w:rPr>
          <w:i/>
        </w:rPr>
        <w:t xml:space="preserve"> k</w:t>
      </w:r>
      <w:r w:rsidRPr="00F71430">
        <w:rPr>
          <w:i/>
        </w:rPr>
        <w:t xml:space="preserve"> nadlimitní veřejné zakáz</w:t>
      </w:r>
      <w:r w:rsidR="00391555">
        <w:rPr>
          <w:i/>
        </w:rPr>
        <w:t>ce</w:t>
      </w:r>
      <w:r w:rsidRPr="00F71430">
        <w:rPr>
          <w:i/>
        </w:rPr>
        <w:t xml:space="preserve"> na služby zadávané v otevřeném řízení dle zákona č. 137/2006 Sb., o veřejných zakázkách, v platném znění: „</w:t>
      </w:r>
      <w:r w:rsidRPr="00E47751">
        <w:rPr>
          <w:rFonts w:cs="Arial"/>
          <w:i/>
        </w:rPr>
        <w:t>Dodání služeb projektu Rodičovství a práce</w:t>
      </w:r>
      <w:r w:rsidRPr="00F71430">
        <w:rPr>
          <w:i/>
        </w:rPr>
        <w:t xml:space="preserve">“ </w:t>
      </w:r>
      <w:r w:rsidRPr="00F71430">
        <w:t>(dále též „Zadávací dokumentace“),</w:t>
      </w:r>
      <w:r w:rsidRPr="00F71430">
        <w:rPr>
          <w:i/>
        </w:rPr>
        <w:t xml:space="preserve"> </w:t>
      </w:r>
      <w:r w:rsidRPr="00F71430">
        <w:t xml:space="preserve">za podmínek, oprávnění a požadavků objednatele obsažených v této smlouvě. Předmětem služeb, které bude poskytovatel realizovat na základě této smlouvy, je </w:t>
      </w:r>
      <w:r w:rsidR="007C340F">
        <w:t>komplexní zajištění aktivit projektu uvedených v Zadávací dokumentaci</w:t>
      </w:r>
      <w:r w:rsidRPr="00F71430">
        <w:t>.</w:t>
      </w:r>
    </w:p>
    <w:p w:rsidRPr="00F71430" w:rsidR="00661AAE" w:rsidP="006B02D1" w:rsidRDefault="00661AAE">
      <w:pPr>
        <w:spacing w:before="0" w:after="0" w:line="280" w:lineRule="atLeast"/>
        <w:ind w:left="720" w:hanging="720"/>
        <w:rPr>
          <w:i/>
        </w:rPr>
      </w:pPr>
    </w:p>
    <w:p w:rsidR="00C6011A" w:rsidP="00391555" w:rsidRDefault="00661AAE">
      <w:pPr>
        <w:overflowPunct w:val="false"/>
        <w:autoSpaceDE w:val="false"/>
        <w:autoSpaceDN w:val="false"/>
        <w:adjustRightInd w:val="false"/>
        <w:ind w:left="709" w:hanging="709"/>
        <w:textAlignment w:val="baseline"/>
        <w:rPr>
          <w:rFonts w:cs="Arial"/>
        </w:rPr>
      </w:pPr>
      <w:r w:rsidRPr="00F71430">
        <w:t xml:space="preserve">I.2 </w:t>
      </w:r>
      <w:r w:rsidRPr="00F71430">
        <w:tab/>
        <w:t xml:space="preserve">Poskytovatel se zavazuje plně a bezvýjimečně respektovat všechny podmínky a údaje uvedené v  Zadávací dokumentaci, která vymezuje závazné požadavky </w:t>
      </w:r>
      <w:r w:rsidRPr="00F71430">
        <w:lastRenderedPageBreak/>
        <w:t>objednatele jako zadavatele na plnění veřejné zakázky</w:t>
      </w:r>
      <w:r w:rsidR="00C6011A">
        <w:t>, přičemž</w:t>
      </w:r>
      <w:r w:rsidRPr="00F71430">
        <w:t xml:space="preserve"> </w:t>
      </w:r>
      <w:r w:rsidR="00C6011A">
        <w:t>k</w:t>
      </w:r>
      <w:r w:rsidR="00C6011A">
        <w:rPr>
          <w:rFonts w:cs="Arial"/>
        </w:rPr>
        <w:t>ompletní Zadávací dokumentace včetně všech jejích příloh blíže definuje a specifikuje obsah smlouvy v těch otázkách, které nejsou smlouvou výslovně upraveny, současně slouží jako interpretační zdroj pojmů obsažených ve smlouvě a je pro obě smluvní strany v celém rozsahu závazná.</w:t>
      </w:r>
      <w:r w:rsidR="00391555">
        <w:rPr>
          <w:rFonts w:cs="Arial"/>
        </w:rPr>
        <w:t xml:space="preserve"> Smluvní strany prohlašují, že je jim podrobně znám obsah Zadávací dokumentace.</w:t>
      </w:r>
    </w:p>
    <w:p w:rsidRPr="00F71430" w:rsidR="00661AAE" w:rsidP="00391555" w:rsidRDefault="00661AAE">
      <w:pPr>
        <w:pStyle w:val="Odstavecseseznamem"/>
        <w:spacing w:before="0" w:after="0" w:line="280" w:lineRule="atLeast"/>
        <w:ind w:left="709" w:hanging="709"/>
      </w:pPr>
    </w:p>
    <w:p w:rsidR="00661AAE" w:rsidP="00391555" w:rsidRDefault="00661AAE">
      <w:pPr>
        <w:pStyle w:val="Odstavecseseznamem"/>
        <w:spacing w:before="0" w:after="0" w:line="280" w:lineRule="atLeast"/>
        <w:ind w:left="709" w:hanging="709"/>
      </w:pPr>
      <w:r w:rsidRPr="00F71430">
        <w:t xml:space="preserve">I.3 </w:t>
      </w:r>
      <w:r w:rsidRPr="00F71430">
        <w:tab/>
        <w:t>Dále se poskytovatel zavazuje realizovat předmět smlouvy popsaný a vymezený v Nabídce uchazeče - poskytovatele na realizaci předmětných služeb</w:t>
      </w:r>
      <w:r w:rsidR="001247DD">
        <w:t xml:space="preserve"> ze dne …</w:t>
      </w:r>
      <w:r w:rsidR="00D2406D">
        <w:t xml:space="preserve"> k veřejné zakázce </w:t>
      </w:r>
      <w:r w:rsidRPr="00F71430" w:rsidR="00D2406D">
        <w:rPr>
          <w:i/>
        </w:rPr>
        <w:t>„</w:t>
      </w:r>
      <w:r w:rsidRPr="00E47751" w:rsidR="00D2406D">
        <w:rPr>
          <w:rFonts w:cs="Arial"/>
          <w:i/>
        </w:rPr>
        <w:t>Dodání služeb projektu Rodičovství a práce</w:t>
      </w:r>
      <w:r w:rsidRPr="00F71430" w:rsidR="00D2406D">
        <w:rPr>
          <w:i/>
        </w:rPr>
        <w:t xml:space="preserve">“ </w:t>
      </w:r>
      <w:r w:rsidRPr="00F71430" w:rsidR="00D2406D">
        <w:t>(dále též</w:t>
      </w:r>
      <w:r w:rsidR="00D2406D">
        <w:t xml:space="preserve"> „nabídka“)</w:t>
      </w:r>
      <w:r w:rsidRPr="00F71430">
        <w:t>.</w:t>
      </w:r>
    </w:p>
    <w:p w:rsidR="00E01855" w:rsidP="006B02D1" w:rsidRDefault="00E01855">
      <w:pPr>
        <w:pStyle w:val="Odstavecseseznamem"/>
        <w:spacing w:before="0" w:after="0" w:line="280" w:lineRule="atLeast"/>
        <w:ind w:hanging="720"/>
      </w:pPr>
    </w:p>
    <w:p w:rsidR="00E01855" w:rsidP="00E01855" w:rsidRDefault="00E01855">
      <w:pPr>
        <w:spacing w:before="0" w:after="0" w:line="280" w:lineRule="atLeast"/>
        <w:ind w:left="720" w:hanging="720"/>
      </w:pPr>
      <w:r>
        <w:t>I.4</w:t>
      </w:r>
      <w:r>
        <w:tab/>
      </w:r>
      <w:r w:rsidR="007C40E1">
        <w:t>Poskytovatel</w:t>
      </w:r>
      <w:r>
        <w:t xml:space="preserve"> prohlašuje, že disponuje</w:t>
      </w:r>
      <w:r w:rsidR="007C40E1">
        <w:t xml:space="preserve"> </w:t>
      </w:r>
      <w:r w:rsidRPr="00E01855">
        <w:t xml:space="preserve">povolením ke zprostředkování zaměstnání podle </w:t>
      </w:r>
      <w:r w:rsidR="007910D8">
        <w:t xml:space="preserve">ustanovení </w:t>
      </w:r>
      <w:r w:rsidRPr="00E01855">
        <w:t xml:space="preserve">§ 14 odst. 3 písm. b) zákona </w:t>
      </w:r>
      <w:r w:rsidR="001F03B4">
        <w:t xml:space="preserve">č. </w:t>
      </w:r>
      <w:r w:rsidRPr="00E01855">
        <w:t>435/2004 Sb., o zaměstnanosti</w:t>
      </w:r>
      <w:r w:rsidR="003B17AB">
        <w:t>, ve znění pozdějších předpisů</w:t>
      </w:r>
      <w:r>
        <w:t xml:space="preserve"> (dále též „Povolení ke zprostředkování zaměstnání“)</w:t>
      </w:r>
      <w:r w:rsidRPr="00E01855">
        <w:t>.</w:t>
      </w:r>
      <w:r>
        <w:t xml:space="preserve"> Část plnění, k němuž je Povolení ke zprostředkování zaměstnání nezbytné, nesmí být plněno prostřednictvím subdodavatele.</w:t>
      </w:r>
    </w:p>
    <w:p w:rsidRPr="00E01855" w:rsidR="00E01855" w:rsidP="00E01855" w:rsidRDefault="00E01855">
      <w:pPr>
        <w:spacing w:before="0" w:after="0" w:line="280" w:lineRule="atLeast"/>
        <w:ind w:left="720" w:hanging="720"/>
      </w:pPr>
    </w:p>
    <w:p w:rsidRPr="007D092C" w:rsidR="007C40E1" w:rsidP="00E01855" w:rsidRDefault="00E01855">
      <w:pPr>
        <w:spacing w:before="0" w:after="0" w:line="280" w:lineRule="atLeast"/>
        <w:ind w:left="720" w:hanging="720"/>
      </w:pPr>
      <w:r>
        <w:t>I.5</w:t>
      </w:r>
      <w:r>
        <w:tab/>
      </w:r>
      <w:r w:rsidR="007C40E1">
        <w:t xml:space="preserve">Poskytovatel se zavazuje </w:t>
      </w:r>
      <w:r w:rsidR="003B17AB">
        <w:t>poskytovat služby</w:t>
      </w:r>
      <w:r w:rsidRPr="007D092C" w:rsidR="007C40E1">
        <w:t xml:space="preserve"> vyžadující zvláštní způsobilost nebo povolení podle příslušných předpisů osobami, které tuto podmínku splňují.</w:t>
      </w:r>
    </w:p>
    <w:p w:rsidRPr="00F71430" w:rsidR="007C40E1" w:rsidP="006B02D1" w:rsidRDefault="007C40E1">
      <w:pPr>
        <w:pStyle w:val="Odstavecseseznamem"/>
        <w:spacing w:before="0" w:after="0" w:line="280" w:lineRule="atLeast"/>
        <w:ind w:hanging="720"/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</w:pPr>
      <w:r w:rsidRPr="00F71430">
        <w:t>Doba trvání smlouvy</w:t>
      </w:r>
    </w:p>
    <w:p w:rsidRPr="00F71430" w:rsidR="00661AAE" w:rsidP="002A7F02" w:rsidRDefault="00661AAE">
      <w:pPr>
        <w:pStyle w:val="Odstavecseseznamem"/>
        <w:numPr>
          <w:ilvl w:val="0"/>
          <w:numId w:val="2"/>
        </w:numPr>
        <w:spacing w:before="0" w:after="0" w:line="280" w:lineRule="atLeast"/>
        <w:ind w:hanging="720"/>
      </w:pPr>
      <w:r w:rsidRPr="00F71430">
        <w:t xml:space="preserve">Smlouva se uzavírá na dobu určitou, a to na maximálně </w:t>
      </w:r>
      <w:r w:rsidR="00AE6FD2">
        <w:t>17</w:t>
      </w:r>
      <w:r w:rsidRPr="00F71430" w:rsidR="00AE6FD2">
        <w:t xml:space="preserve"> </w:t>
      </w:r>
      <w:r w:rsidRPr="00F71430">
        <w:t>měsíců od</w:t>
      </w:r>
      <w:r w:rsidR="006629CB">
        <w:t>e dne</w:t>
      </w:r>
      <w:r w:rsidRPr="00F71430">
        <w:t xml:space="preserve"> zahájení re</w:t>
      </w:r>
      <w:r w:rsidR="00107213">
        <w:t>alizace plnění dle této smlouvy</w:t>
      </w:r>
      <w:r w:rsidRPr="00F71430">
        <w:t>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2"/>
        </w:numPr>
        <w:spacing w:before="0" w:after="0" w:line="280" w:lineRule="atLeast"/>
        <w:ind w:hanging="720"/>
      </w:pPr>
      <w:r w:rsidRPr="00F71430">
        <w:t>D</w:t>
      </w:r>
      <w:r w:rsidR="009A05B9">
        <w:t>nem</w:t>
      </w:r>
      <w:r w:rsidRPr="00F71430">
        <w:t xml:space="preserve"> zahájení realizace plnění dle této smlouvy se rozumí první den měsíce následujícího po měsíci, kdy byla uzavřena tato smlouva.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E4240" w:rsidR="00661AAE" w:rsidP="002A7F02" w:rsidRDefault="00661AAE">
      <w:pPr>
        <w:pStyle w:val="Odstavecseseznamem"/>
        <w:numPr>
          <w:ilvl w:val="0"/>
          <w:numId w:val="2"/>
        </w:numPr>
        <w:spacing w:before="0" w:after="0" w:line="280" w:lineRule="atLeast"/>
        <w:ind w:hanging="720"/>
      </w:pPr>
      <w:r w:rsidRPr="00F71430">
        <w:t xml:space="preserve">Termíny plnění dílčích </w:t>
      </w:r>
      <w:r w:rsidR="00C6011A">
        <w:t xml:space="preserve">aktivit </w:t>
      </w:r>
      <w:r w:rsidR="009A05B9">
        <w:t xml:space="preserve">projektu </w:t>
      </w:r>
      <w:r w:rsidRPr="00F71430">
        <w:t>jsou obsaženy v</w:t>
      </w:r>
      <w:r w:rsidR="00D2406D">
        <w:t> </w:t>
      </w:r>
      <w:r w:rsidRPr="00F71430">
        <w:t>harmonogramu</w:t>
      </w:r>
      <w:r w:rsidR="00D2406D">
        <w:t xml:space="preserve"> plnění, který je </w:t>
      </w:r>
      <w:r w:rsidRPr="00FE4240" w:rsidR="00D2406D">
        <w:t>přílohou č. 1 této smlouvy</w:t>
      </w:r>
      <w:r w:rsidRPr="00941132" w:rsidR="00D2406D">
        <w:t>.</w:t>
      </w:r>
    </w:p>
    <w:p w:rsidRPr="00F71430" w:rsidR="00661AAE" w:rsidP="006B02D1" w:rsidRDefault="00661AAE">
      <w:pPr>
        <w:spacing w:before="0" w:after="0" w:line="280" w:lineRule="atLeast"/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</w:pPr>
      <w:r w:rsidRPr="00F71430">
        <w:t xml:space="preserve">Místo plnění </w:t>
      </w:r>
    </w:p>
    <w:p w:rsidRPr="00F71430" w:rsidR="00661AAE" w:rsidP="002A7F02" w:rsidRDefault="00661AAE">
      <w:pPr>
        <w:pStyle w:val="Odstavecseseznamem"/>
        <w:numPr>
          <w:ilvl w:val="0"/>
          <w:numId w:val="3"/>
        </w:numPr>
        <w:spacing w:before="0" w:after="0" w:line="280" w:lineRule="atLeast"/>
        <w:ind w:hanging="720"/>
        <w:rPr>
          <w:bCs/>
          <w:iCs/>
        </w:rPr>
      </w:pPr>
      <w:r w:rsidRPr="00F71430">
        <w:rPr>
          <w:bCs/>
          <w:iCs/>
        </w:rPr>
        <w:t xml:space="preserve">Místem plnění </w:t>
      </w:r>
      <w:r w:rsidRPr="00F71430">
        <w:t xml:space="preserve">dle této smlouvy </w:t>
      </w:r>
      <w:r w:rsidRPr="00F71430">
        <w:rPr>
          <w:bCs/>
          <w:iCs/>
        </w:rPr>
        <w:t xml:space="preserve">je </w:t>
      </w:r>
      <w:r w:rsidRPr="00912D86">
        <w:rPr>
          <w:bCs/>
        </w:rPr>
        <w:t>Středočesk</w:t>
      </w:r>
      <w:r w:rsidRPr="00F71430">
        <w:rPr>
          <w:bCs/>
          <w:iCs/>
        </w:rPr>
        <w:t xml:space="preserve">ý kraj. 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  <w:rPr>
          <w:bCs/>
          <w:iCs/>
        </w:rPr>
      </w:pPr>
    </w:p>
    <w:p w:rsidRPr="00F71430" w:rsidR="00661AAE" w:rsidP="002A7F02" w:rsidRDefault="00661AAE">
      <w:pPr>
        <w:pStyle w:val="Odstavecseseznamem"/>
        <w:numPr>
          <w:ilvl w:val="0"/>
          <w:numId w:val="3"/>
        </w:numPr>
        <w:spacing w:before="0" w:after="0" w:line="280" w:lineRule="atLeast"/>
        <w:ind w:hanging="720"/>
        <w:rPr>
          <w:bCs/>
          <w:iCs/>
        </w:rPr>
      </w:pPr>
      <w:r w:rsidRPr="00F71430">
        <w:rPr>
          <w:bCs/>
          <w:iCs/>
        </w:rPr>
        <w:t xml:space="preserve">Poskytovatel </w:t>
      </w:r>
      <w:r w:rsidR="003B17AB">
        <w:rPr>
          <w:bCs/>
          <w:iCs/>
        </w:rPr>
        <w:t>zřídí</w:t>
      </w:r>
      <w:r w:rsidRPr="00F71430">
        <w:rPr>
          <w:bCs/>
          <w:iCs/>
        </w:rPr>
        <w:t xml:space="preserve"> minimálně 1 </w:t>
      </w:r>
      <w:r>
        <w:rPr>
          <w:bCs/>
          <w:iCs/>
        </w:rPr>
        <w:t xml:space="preserve">kancelář </w:t>
      </w:r>
      <w:r w:rsidRPr="00F71430">
        <w:rPr>
          <w:bCs/>
          <w:iCs/>
        </w:rPr>
        <w:t>v</w:t>
      </w:r>
      <w:r>
        <w:rPr>
          <w:bCs/>
          <w:iCs/>
        </w:rPr>
        <w:t>e</w:t>
      </w:r>
      <w:r w:rsidRPr="00F71430">
        <w:rPr>
          <w:bCs/>
          <w:iCs/>
        </w:rPr>
        <w:t> </w:t>
      </w:r>
      <w:r w:rsidRPr="00912D86">
        <w:rPr>
          <w:bCs/>
        </w:rPr>
        <w:t>Středočesk</w:t>
      </w:r>
      <w:r w:rsidRPr="00F71430">
        <w:rPr>
          <w:bCs/>
          <w:iCs/>
        </w:rPr>
        <w:t>é</w:t>
      </w:r>
      <w:r>
        <w:rPr>
          <w:bCs/>
          <w:iCs/>
        </w:rPr>
        <w:t>m</w:t>
      </w:r>
      <w:r w:rsidRPr="00F71430">
        <w:rPr>
          <w:bCs/>
          <w:iCs/>
        </w:rPr>
        <w:t xml:space="preserve"> kraj</w:t>
      </w:r>
      <w:r>
        <w:rPr>
          <w:bCs/>
          <w:iCs/>
        </w:rPr>
        <w:t xml:space="preserve">i nebo </w:t>
      </w:r>
      <w:r w:rsidRPr="007A3D55">
        <w:rPr>
          <w:bCs/>
        </w:rPr>
        <w:t>na území hlavního města Prahy</w:t>
      </w:r>
      <w:r w:rsidRPr="00F71430">
        <w:rPr>
          <w:bCs/>
          <w:iCs/>
        </w:rPr>
        <w:t xml:space="preserve"> </w:t>
      </w:r>
      <w:r>
        <w:rPr>
          <w:bCs/>
          <w:iCs/>
        </w:rPr>
        <w:t xml:space="preserve">a dále </w:t>
      </w:r>
      <w:r w:rsidRPr="0096274B">
        <w:rPr>
          <w:bCs/>
        </w:rPr>
        <w:t>v každém z 11-ti okresů Středočeského kraje 2 kanceláře</w:t>
      </w:r>
      <w:r w:rsidR="00AE6FD2">
        <w:rPr>
          <w:bCs/>
        </w:rPr>
        <w:t xml:space="preserve"> (resp. 1 </w:t>
      </w:r>
      <w:r w:rsidR="003B17AB">
        <w:rPr>
          <w:bCs/>
        </w:rPr>
        <w:t xml:space="preserve">kancelář, a to </w:t>
      </w:r>
      <w:r w:rsidR="00AE6FD2">
        <w:rPr>
          <w:bCs/>
        </w:rPr>
        <w:t>v souladu se Zadávací dokumentací)</w:t>
      </w:r>
      <w:r w:rsidRPr="00F71430">
        <w:rPr>
          <w:bCs/>
          <w:iCs/>
        </w:rPr>
        <w:t>, kter</w:t>
      </w:r>
      <w:r>
        <w:rPr>
          <w:bCs/>
          <w:iCs/>
        </w:rPr>
        <w:t>é</w:t>
      </w:r>
      <w:r w:rsidRPr="00F71430">
        <w:rPr>
          <w:bCs/>
          <w:iCs/>
        </w:rPr>
        <w:t xml:space="preserve"> bud</w:t>
      </w:r>
      <w:r>
        <w:rPr>
          <w:bCs/>
          <w:iCs/>
        </w:rPr>
        <w:t>ou</w:t>
      </w:r>
      <w:r w:rsidRPr="00F71430">
        <w:rPr>
          <w:bCs/>
          <w:iCs/>
        </w:rPr>
        <w:t xml:space="preserve"> splňovat podmínky stanovené Zadávací dokumentací. </w:t>
      </w:r>
      <w:r>
        <w:rPr>
          <w:bCs/>
          <w:iCs/>
        </w:rPr>
        <w:t>Kanceláře</w:t>
      </w:r>
      <w:r w:rsidRPr="00F71430">
        <w:rPr>
          <w:bCs/>
          <w:iCs/>
        </w:rPr>
        <w:t xml:space="preserve"> budou zřízeny v termínu, který stanovil objednatel - zadavatel v Zadávací dokumentaci.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  <w:rPr>
          <w:bCs/>
          <w:iCs/>
        </w:rPr>
      </w:pPr>
    </w:p>
    <w:p w:rsidR="00661AAE" w:rsidP="00107213" w:rsidRDefault="00661AAE">
      <w:pPr>
        <w:pStyle w:val="Nadpis1"/>
        <w:keepNext/>
        <w:spacing w:before="360" w:line="280" w:lineRule="atLeast"/>
        <w:ind w:left="1077"/>
        <w:contextualSpacing w:val="false"/>
      </w:pPr>
      <w:r w:rsidRPr="00F71430">
        <w:lastRenderedPageBreak/>
        <w:t>Cena</w:t>
      </w:r>
    </w:p>
    <w:p w:rsidRPr="00F71430" w:rsidR="00661AAE" w:rsidP="002A7F02" w:rsidRDefault="00661AAE">
      <w:pPr>
        <w:pStyle w:val="Nadpis1"/>
        <w:numPr>
          <w:ilvl w:val="0"/>
          <w:numId w:val="4"/>
        </w:numPr>
        <w:spacing w:before="0" w:after="0" w:line="280" w:lineRule="atLeast"/>
        <w:ind w:left="709" w:hanging="709"/>
        <w:jc w:val="both"/>
      </w:pPr>
      <w:r w:rsidRPr="00F71430">
        <w:t>Objednatel se zavazuje poskytovateli uhradit za realizaci projektu sjednanou cenu v následující výši:</w:t>
      </w:r>
    </w:p>
    <w:tbl>
      <w:tblPr>
        <w:tblW w:w="8363" w:type="dxa"/>
        <w:tblInd w:w="817" w:type="dxa"/>
        <w:tblBorders>
          <w:top w:val="single" w:color="17365D" w:sz="12" w:space="0"/>
          <w:bottom w:val="single" w:color="17365D" w:sz="12" w:space="0"/>
        </w:tblBorders>
        <w:tblLook w:firstRow="1" w:lastRow="0" w:firstColumn="1" w:lastColumn="0" w:noHBand="0" w:noVBand="0" w:val="00A0"/>
      </w:tblPr>
      <w:tblGrid>
        <w:gridCol w:w="4606"/>
        <w:gridCol w:w="3757"/>
      </w:tblGrid>
      <w:tr w:rsidRPr="00F71430" w:rsidR="00661AAE" w:rsidTr="00887CE2">
        <w:tc>
          <w:tcPr>
            <w:tcW w:w="4606" w:type="dxa"/>
            <w:tcBorders>
              <w:top w:val="single" w:color="17365D" w:sz="12" w:space="0"/>
              <w:bottom w:val="single" w:color="17365D" w:sz="4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  <w:ind w:left="34"/>
            </w:pPr>
            <w:r w:rsidRPr="00F71430">
              <w:t>Cena bez DPH</w:t>
            </w:r>
          </w:p>
        </w:tc>
        <w:tc>
          <w:tcPr>
            <w:tcW w:w="3757" w:type="dxa"/>
            <w:tcBorders>
              <w:top w:val="single" w:color="17365D" w:sz="12" w:space="0"/>
              <w:bottom w:val="single" w:color="17365D" w:sz="4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</w:tr>
      <w:tr w:rsidRPr="00F71430" w:rsidR="00661AAE" w:rsidTr="00887CE2">
        <w:tc>
          <w:tcPr>
            <w:tcW w:w="4606" w:type="dxa"/>
            <w:tcBorders>
              <w:top w:val="single" w:color="17365D" w:sz="4" w:space="0"/>
            </w:tcBorders>
          </w:tcPr>
          <w:p w:rsidRPr="00F71430" w:rsidR="00661AAE" w:rsidP="00AE6FD2" w:rsidRDefault="00661AAE">
            <w:pPr>
              <w:spacing w:before="0" w:after="0" w:line="280" w:lineRule="atLeast"/>
            </w:pPr>
            <w:r w:rsidRPr="00F71430">
              <w:t xml:space="preserve">DPH ve výši </w:t>
            </w:r>
            <w:r w:rsidRPr="00F71430" w:rsidR="00AE6FD2">
              <w:t>2</w:t>
            </w:r>
            <w:r w:rsidR="00AE6FD2">
              <w:t>1</w:t>
            </w:r>
            <w:r w:rsidRPr="00F71430" w:rsidR="00AE6FD2">
              <w:t xml:space="preserve"> </w:t>
            </w:r>
            <w:r w:rsidRPr="00F71430">
              <w:t>%</w:t>
            </w:r>
          </w:p>
        </w:tc>
        <w:tc>
          <w:tcPr>
            <w:tcW w:w="3757" w:type="dxa"/>
            <w:tcBorders>
              <w:top w:val="single" w:color="17365D" w:sz="4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</w:tr>
      <w:tr w:rsidRPr="00F71430" w:rsidR="00661AAE" w:rsidTr="00887CE2">
        <w:tc>
          <w:tcPr>
            <w:tcW w:w="4606" w:type="dxa"/>
            <w:tcBorders>
              <w:bottom w:val="single" w:color="17365D" w:sz="12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  <w:r w:rsidRPr="00F71430">
              <w:t>Cena s DPH</w:t>
            </w:r>
          </w:p>
        </w:tc>
        <w:tc>
          <w:tcPr>
            <w:tcW w:w="3757" w:type="dxa"/>
            <w:tcBorders>
              <w:bottom w:val="single" w:color="17365D" w:sz="12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</w:tr>
    </w:tbl>
    <w:p w:rsidRPr="00F71430" w:rsidR="00661AAE" w:rsidP="006B02D1" w:rsidRDefault="00661AAE">
      <w:pPr>
        <w:spacing w:before="0" w:after="0" w:line="280" w:lineRule="atLeast"/>
        <w:ind w:left="709" w:hanging="709"/>
      </w:pPr>
      <w:r w:rsidRPr="00F71430">
        <w:tab/>
        <w:t>Celková cena je stanovena jako nejvýše přípustná a zahrnuje veškeré náklady nutné a uznatelné k realizaci plnění dle této smlouvy.</w:t>
      </w:r>
    </w:p>
    <w:p w:rsidRPr="00F71430" w:rsidR="00661AAE" w:rsidP="006B02D1" w:rsidRDefault="00661AAE">
      <w:pPr>
        <w:spacing w:before="0" w:after="0" w:line="280" w:lineRule="atLeast"/>
        <w:ind w:left="709" w:hanging="709"/>
      </w:pPr>
    </w:p>
    <w:p w:rsidRPr="00F71430" w:rsidR="00661AAE" w:rsidP="002A7F02" w:rsidRDefault="00661AAE">
      <w:pPr>
        <w:pStyle w:val="Nadpis1"/>
        <w:numPr>
          <w:ilvl w:val="0"/>
          <w:numId w:val="4"/>
        </w:numPr>
        <w:spacing w:before="0" w:after="0" w:line="280" w:lineRule="atLeast"/>
        <w:ind w:left="709" w:hanging="709"/>
        <w:jc w:val="both"/>
      </w:pPr>
      <w:r w:rsidRPr="00F71430">
        <w:t xml:space="preserve">Závazný rozpočet projektu se řídí </w:t>
      </w:r>
      <w:r w:rsidRPr="00FE4240">
        <w:t xml:space="preserve">Přílohou </w:t>
      </w:r>
      <w:r w:rsidRPr="00941132">
        <w:t xml:space="preserve">č. </w:t>
      </w:r>
      <w:r w:rsidRPr="00941132" w:rsidR="00D2406D">
        <w:t xml:space="preserve">2 </w:t>
      </w:r>
      <w:proofErr w:type="gramStart"/>
      <w:r w:rsidRPr="00941132" w:rsidR="00D2406D">
        <w:t>této</w:t>
      </w:r>
      <w:proofErr w:type="gramEnd"/>
      <w:r w:rsidRPr="00941132" w:rsidR="00D2406D">
        <w:t xml:space="preserve"> smlouvy</w:t>
      </w:r>
      <w:r w:rsidRPr="00FE4240">
        <w:t xml:space="preserve"> </w:t>
      </w:r>
      <w:r w:rsidRPr="00FE4240" w:rsidR="00D2406D">
        <w:t>(</w:t>
      </w:r>
      <w:r w:rsidRPr="00FE4240">
        <w:t>Rozpočet</w:t>
      </w:r>
      <w:r w:rsidRPr="00FC385A">
        <w:t xml:space="preserve"> </w:t>
      </w:r>
      <w:r w:rsidR="00FE4240">
        <w:t>poskytovatele</w:t>
      </w:r>
      <w:r w:rsidR="00D2406D">
        <w:t>)</w:t>
      </w:r>
      <w:r w:rsidRPr="00F71430">
        <w:t>.</w:t>
      </w:r>
    </w:p>
    <w:p w:rsidRPr="00F71430" w:rsidR="00661AAE" w:rsidP="006B02D1" w:rsidRDefault="00661AAE"/>
    <w:p w:rsidRPr="00F71430" w:rsidR="00661AAE" w:rsidP="002A7F02" w:rsidRDefault="00661AAE">
      <w:pPr>
        <w:pStyle w:val="Nadpis1"/>
        <w:numPr>
          <w:ilvl w:val="0"/>
          <w:numId w:val="4"/>
        </w:numPr>
        <w:spacing w:before="0" w:after="0" w:line="280" w:lineRule="atLeast"/>
        <w:ind w:left="709" w:hanging="709"/>
        <w:jc w:val="both"/>
      </w:pPr>
      <w:r w:rsidRPr="00F71430">
        <w:t xml:space="preserve">Jednotkové ceny </w:t>
      </w:r>
      <w:r w:rsidR="003B17AB">
        <w:t xml:space="preserve">uvedené </w:t>
      </w:r>
      <w:r w:rsidR="00D2406D">
        <w:t xml:space="preserve">v Příloze č. 2 </w:t>
      </w:r>
      <w:proofErr w:type="gramStart"/>
      <w:r w:rsidR="00D2406D">
        <w:t>této</w:t>
      </w:r>
      <w:proofErr w:type="gramEnd"/>
      <w:r w:rsidR="00D2406D">
        <w:t xml:space="preserve"> smlouvy</w:t>
      </w:r>
      <w:r w:rsidRPr="00F71430">
        <w:t xml:space="preserve"> jsou pevně stanoveny. Ceny jsou závazné a poskytovatel je použije jako podklad pro fakturaci podle skutečného objemu uskutečněný</w:t>
      </w:r>
      <w:r>
        <w:t>ch</w:t>
      </w:r>
      <w:r w:rsidRPr="00F71430">
        <w:t xml:space="preserve"> služeb, a to podle podmínek nastavených v Zadávací dokumentaci.</w:t>
      </w:r>
    </w:p>
    <w:p w:rsidRPr="00F71430" w:rsidR="00661AAE" w:rsidP="006B02D1" w:rsidRDefault="00661AAE">
      <w:pPr>
        <w:spacing w:before="0" w:after="0" w:line="280" w:lineRule="atLeast"/>
      </w:pPr>
    </w:p>
    <w:p w:rsidRPr="00F71430" w:rsidR="00661AAE" w:rsidP="002A7F02" w:rsidRDefault="00661AAE">
      <w:pPr>
        <w:pStyle w:val="Nadpis1"/>
        <w:numPr>
          <w:ilvl w:val="0"/>
          <w:numId w:val="4"/>
        </w:numPr>
        <w:spacing w:before="0" w:after="0" w:line="280" w:lineRule="atLeast"/>
        <w:ind w:left="709" w:hanging="709"/>
        <w:jc w:val="both"/>
      </w:pPr>
      <w:r w:rsidRPr="00F71430">
        <w:t xml:space="preserve">Fakturace bude probíhat způsobem </w:t>
      </w:r>
      <w:r>
        <w:t xml:space="preserve">a v termínech </w:t>
      </w:r>
      <w:r w:rsidRPr="00F71430">
        <w:t>stanoveným</w:t>
      </w:r>
      <w:r>
        <w:t>i</w:t>
      </w:r>
      <w:r w:rsidRPr="00F71430">
        <w:t xml:space="preserve"> v</w:t>
      </w:r>
      <w:r>
        <w:t> čl. 8</w:t>
      </w:r>
      <w:r w:rsidRPr="00F71430">
        <w:t> Zadávací dokumentac</w:t>
      </w:r>
      <w:r>
        <w:t>e</w:t>
      </w:r>
      <w:r w:rsidRPr="00F71430">
        <w:t>. Poskytovatel použije jako podklad pro fakturaci</w:t>
      </w:r>
      <w:r>
        <w:t xml:space="preserve"> jednotkové ceny</w:t>
      </w:r>
      <w:r w:rsidRPr="00F71430">
        <w:t xml:space="preserve"> podle skutečného objemu uskutečněný služeb, a to podle podmínek nastavených v Zadávací dokumentaci.</w:t>
      </w:r>
      <w:r w:rsidRPr="00F71430" w:rsidDel="00C930EF">
        <w:t xml:space="preserve"> </w:t>
      </w:r>
    </w:p>
    <w:p w:rsidRPr="00F71430" w:rsidR="00661AAE" w:rsidP="006B02D1" w:rsidRDefault="00661AAE"/>
    <w:p w:rsidRPr="00F71430" w:rsidR="00661AAE" w:rsidP="006B02D1" w:rsidRDefault="00661AAE">
      <w:pPr>
        <w:spacing w:before="0" w:after="0" w:line="280" w:lineRule="atLeast"/>
        <w:ind w:left="709" w:hanging="709"/>
      </w:pPr>
      <w:r>
        <w:t>IV.5</w:t>
      </w:r>
      <w:r w:rsidRPr="00F71430">
        <w:t>.</w:t>
      </w:r>
      <w:r w:rsidRPr="00F71430">
        <w:tab/>
        <w:t xml:space="preserve">Při stanovení ceny za poskytované služby v rámci jednotlivých </w:t>
      </w:r>
      <w:r w:rsidR="00C6011A">
        <w:t>dílčích aktivit</w:t>
      </w:r>
      <w:r w:rsidRPr="00F71430">
        <w:t xml:space="preserve"> projektu, je poskytovatel povinen dodržovat ustanovení § </w:t>
      </w:r>
      <w:smartTag w:uri="urn:schemas-microsoft-com:office:smarttags" w:element="metricconverter">
        <w:smartTagPr>
          <w:attr w:name="ProductID" w:val="51 a"/>
        </w:smartTagPr>
        <w:r w:rsidRPr="00F71430">
          <w:t>51 a</w:t>
        </w:r>
      </w:smartTag>
      <w:r w:rsidRPr="00F71430">
        <w:t xml:space="preserve"> § 57 zákona č. 235/2004 Sb., o dani z přidané hodnoty, ve znění pozdějších předpisů, týkající se osvobození poskytovaných služeb od daně z přidané hodnoty bez nároku na odpočet daně, přičemž takto fakturovaná částka ceny bude s přihlédnutím ke konkrétním poskytovaným službám, jejichž se osvobození týká, stanovená a nárokovaná vždy jako cena bez daně z přidané hodnoty.</w:t>
      </w:r>
    </w:p>
    <w:p w:rsidRPr="00F71430" w:rsidR="00661AAE" w:rsidP="006B02D1" w:rsidRDefault="00661AAE">
      <w:pPr>
        <w:spacing w:before="0" w:after="0" w:line="280" w:lineRule="atLeast"/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</w:pPr>
      <w:r w:rsidRPr="00F71430">
        <w:t>Platební podmínky</w:t>
      </w:r>
    </w:p>
    <w:p w:rsidRPr="00F71430" w:rsidR="00661AAE" w:rsidP="002A7F02" w:rsidRDefault="00661AAE">
      <w:pPr>
        <w:pStyle w:val="Odstavecseseznamem"/>
        <w:numPr>
          <w:ilvl w:val="0"/>
          <w:numId w:val="6"/>
        </w:numPr>
        <w:spacing w:before="0" w:after="0" w:line="280" w:lineRule="atLeast"/>
        <w:ind w:hanging="720"/>
      </w:pPr>
      <w:bookmarkStart w:name="_Toc272139234" w:id="0"/>
      <w:r w:rsidRPr="00F71430">
        <w:t>Cena za plnění dle této smlouvy (s výjimkou přímé podpory)</w:t>
      </w:r>
      <w:bookmarkEnd w:id="0"/>
      <w:r w:rsidRPr="00F71430">
        <w:t xml:space="preserve"> bude objednatelem uhrazena na základě daňových dokladů – faktur poskytovatele. Objednatel uhradí poskytovateli cenu za předmět plnění v souladu s podmínkami stanovenými v Zadávací dokumentaci kapitole č. </w:t>
      </w:r>
      <w:r>
        <w:t>8</w:t>
      </w:r>
      <w:r w:rsidRPr="00F71430">
        <w:t xml:space="preserve"> Platební podmínky. 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6"/>
        </w:numPr>
        <w:spacing w:before="0" w:after="0" w:line="280" w:lineRule="atLeast"/>
        <w:ind w:hanging="720"/>
      </w:pPr>
      <w:r w:rsidRPr="00F71430">
        <w:t xml:space="preserve">Faktura musí obsahovat všechny náležitosti řádného účetního a daňového dokladu ve smyslu příslušných právních předpisů. V případě, že faktura nebude mít odpovídající náležitosti, je objednatel oprávněn zaslat ji ve lhůtě splatnosti zpět poskytovateli k doplnění či úpravě, aniž se tak dostane do prodlení se splatností; nová lhůta splatnosti počíná běžet od </w:t>
      </w:r>
      <w:r w:rsidR="00A85BF9">
        <w:t>doručení</w:t>
      </w:r>
      <w:r w:rsidRPr="00F71430">
        <w:t xml:space="preserve"> náležitě doplněného či opraveného dokladu</w:t>
      </w:r>
      <w:r w:rsidR="00A85BF9">
        <w:t xml:space="preserve"> objednateli</w:t>
      </w:r>
      <w:r w:rsidRPr="00F71430">
        <w:t>.</w:t>
      </w:r>
    </w:p>
    <w:p w:rsidRPr="00F71430" w:rsidR="00661AAE" w:rsidP="006B02D1" w:rsidRDefault="00661AAE">
      <w:pPr>
        <w:pStyle w:val="Odstavecseseznamem"/>
        <w:spacing w:before="0" w:after="0" w:line="280" w:lineRule="atLeast"/>
      </w:pPr>
    </w:p>
    <w:p w:rsidRPr="00F71430" w:rsidR="00661AAE" w:rsidP="002A7F02" w:rsidRDefault="00661AAE">
      <w:pPr>
        <w:pStyle w:val="Odstavecseseznamem"/>
        <w:numPr>
          <w:ilvl w:val="0"/>
          <w:numId w:val="6"/>
        </w:numPr>
        <w:spacing w:before="0" w:after="0" w:line="280" w:lineRule="atLeast"/>
        <w:ind w:hanging="720"/>
      </w:pPr>
      <w:r w:rsidRPr="00F71430">
        <w:lastRenderedPageBreak/>
        <w:t>Náklady na přímou podporu budou hrazeny formou přímé úhrady (platební poukaz) na základě</w:t>
      </w:r>
      <w:r>
        <w:t xml:space="preserve"> </w:t>
      </w:r>
      <w:r w:rsidR="00DE58C6">
        <w:t>vyúčtování přímé podpory</w:t>
      </w:r>
      <w:r w:rsidRPr="00F71430">
        <w:t xml:space="preserve">. </w:t>
      </w:r>
    </w:p>
    <w:p w:rsidRPr="00F71430" w:rsidR="00661AAE" w:rsidP="006B02D1" w:rsidRDefault="00661AAE">
      <w:pPr>
        <w:pStyle w:val="Odstavecseseznamem"/>
        <w:spacing w:before="0" w:after="0" w:line="280" w:lineRule="atLeast"/>
      </w:pPr>
    </w:p>
    <w:p w:rsidRPr="00F71430" w:rsidR="00661AAE" w:rsidP="002A7F02" w:rsidRDefault="00661AAE">
      <w:pPr>
        <w:pStyle w:val="Odstavecseseznamem"/>
        <w:numPr>
          <w:ilvl w:val="0"/>
          <w:numId w:val="6"/>
        </w:numPr>
        <w:spacing w:before="0" w:after="0" w:line="280" w:lineRule="atLeast"/>
        <w:ind w:hanging="720"/>
      </w:pPr>
      <w:r w:rsidRPr="00F71430">
        <w:t xml:space="preserve">V případě podání společné nabídky, bude v průběhu plnění </w:t>
      </w:r>
      <w:r w:rsidR="00A85BF9">
        <w:t>dle této smlouvy</w:t>
      </w:r>
      <w:r w:rsidRPr="00F71430">
        <w:t xml:space="preserve"> osobou oprávněnou fakturovat: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  <w:ind w:left="709"/>
      </w:pPr>
      <w:r w:rsidRPr="00F71430">
        <w:t>název / jméno: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  <w:ind w:left="709"/>
      </w:pPr>
      <w:r w:rsidRPr="00F71430">
        <w:t>IČ:</w:t>
      </w:r>
    </w:p>
    <w:p w:rsidRPr="00F71430" w:rsidR="00661AAE" w:rsidP="006B02D1" w:rsidRDefault="00661AAE">
      <w:pPr>
        <w:tabs>
          <w:tab w:val="left" w:pos="709"/>
        </w:tabs>
        <w:spacing w:before="0" w:after="0" w:line="280" w:lineRule="atLeast"/>
        <w:ind w:left="709"/>
      </w:pPr>
      <w:r w:rsidRPr="00F71430">
        <w:t>Zastoupený:</w:t>
      </w:r>
    </w:p>
    <w:p w:rsidRPr="00F71430" w:rsidR="00661AAE" w:rsidP="006B02D1" w:rsidRDefault="00661AAE">
      <w:pPr>
        <w:tabs>
          <w:tab w:val="left" w:pos="1418"/>
        </w:tabs>
        <w:spacing w:before="0" w:after="0" w:line="280" w:lineRule="atLeast"/>
        <w:ind w:left="709"/>
      </w:pPr>
      <w:r w:rsidRPr="00F71430">
        <w:t>Číslo účtu:</w:t>
      </w:r>
    </w:p>
    <w:p w:rsidRPr="00F71430" w:rsidR="00661AAE" w:rsidP="006B02D1" w:rsidRDefault="00661AAE">
      <w:pPr>
        <w:pStyle w:val="Odstavecseseznamem"/>
        <w:spacing w:before="0" w:after="0" w:line="280" w:lineRule="atLeast"/>
      </w:pPr>
    </w:p>
    <w:p w:rsidRPr="00F71430" w:rsidR="00661AAE" w:rsidP="002A7F02" w:rsidRDefault="00661AAE">
      <w:pPr>
        <w:pStyle w:val="Odstavecseseznamem"/>
        <w:numPr>
          <w:ilvl w:val="0"/>
          <w:numId w:val="6"/>
        </w:numPr>
        <w:spacing w:before="0" w:after="0" w:line="280" w:lineRule="atLeast"/>
        <w:ind w:hanging="720"/>
      </w:pPr>
      <w:r w:rsidRPr="00F71430">
        <w:t xml:space="preserve">Platební podmínky pro jednotlivé </w:t>
      </w:r>
      <w:r w:rsidR="00C6011A">
        <w:t>aktivity</w:t>
      </w:r>
      <w:r w:rsidRPr="00F71430">
        <w:t xml:space="preserve"> projektu se řídí</w:t>
      </w:r>
      <w:r>
        <w:t xml:space="preserve"> </w:t>
      </w:r>
      <w:r w:rsidRPr="00F71430" w:rsidR="00DE58C6">
        <w:t xml:space="preserve">podmínkami stanovenými v Zadávací dokumentaci kapitole č. </w:t>
      </w:r>
      <w:r w:rsidR="00DE58C6">
        <w:t>8</w:t>
      </w:r>
      <w:r w:rsidRPr="00F71430" w:rsidR="00DE58C6">
        <w:t xml:space="preserve"> Platební podmínky</w:t>
      </w:r>
      <w:r w:rsidRPr="00F71430">
        <w:t xml:space="preserve">. </w:t>
      </w:r>
    </w:p>
    <w:p w:rsidRPr="00F71430" w:rsidR="00661AAE" w:rsidP="006B02D1" w:rsidRDefault="00661AAE">
      <w:pPr>
        <w:spacing w:before="0" w:after="0" w:line="280" w:lineRule="atLeast"/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  <w:rPr>
          <w:strike/>
        </w:rPr>
      </w:pPr>
      <w:r w:rsidRPr="00F71430">
        <w:t>Další podmínky poskytování služeb</w:t>
      </w:r>
    </w:p>
    <w:p w:rsidRPr="00F71430" w:rsidR="00661AAE" w:rsidP="002A7F02" w:rsidRDefault="00661AAE">
      <w:pPr>
        <w:pStyle w:val="Odstavecseseznamem"/>
        <w:numPr>
          <w:ilvl w:val="0"/>
          <w:numId w:val="7"/>
        </w:numPr>
        <w:spacing w:before="0" w:after="0" w:line="280" w:lineRule="atLeast"/>
        <w:ind w:hanging="720"/>
      </w:pPr>
      <w:r w:rsidRPr="00F71430">
        <w:t>Poskytovatel akceptuje všechny podmínky stanovené v Zadávací dokumentac</w:t>
      </w:r>
      <w:r>
        <w:t>i a tí</w:t>
      </w:r>
      <w:r w:rsidRPr="00F71430">
        <w:t>mto se výslovně zavazuje realizovat předmět smlouvy v souladu se všemi podmínkami objednatele uvedenými v Zadávací dokumentaci.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7"/>
        </w:numPr>
        <w:spacing w:before="0" w:after="0" w:line="280" w:lineRule="atLeast"/>
        <w:ind w:hanging="720"/>
      </w:pPr>
      <w:r w:rsidRPr="00F71430">
        <w:t>Poskytovatel</w:t>
      </w:r>
      <w:r w:rsidRPr="00F71430" w:rsidDel="00AE5F13">
        <w:t xml:space="preserve"> </w:t>
      </w:r>
      <w:r w:rsidRPr="00F71430">
        <w:t>se zavazuje sledovat a naplňovat všechny indikátory stanovené v Zadávací dokumentaci</w:t>
      </w:r>
      <w:r w:rsidR="006D6E6F">
        <w:t>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7"/>
        </w:numPr>
        <w:spacing w:before="0" w:after="0" w:line="280" w:lineRule="atLeast"/>
        <w:ind w:hanging="720"/>
      </w:pPr>
      <w:r w:rsidRPr="00F71430">
        <w:t xml:space="preserve">Poskytovatel je povinen postupovat při realizaci předmětu této smlouvy v souladu se zákonem č. 101/2000 Sb., o ochraně osobních údajů, ve znění pozdějších předpisů. Poskytovatel nesmí sdělovat údaje získané od objednatele a </w:t>
      </w:r>
      <w:r w:rsidR="006D6E6F">
        <w:t>účastníků projektu</w:t>
      </w:r>
      <w:r w:rsidRPr="00F71430">
        <w:t xml:space="preserve"> při své činnosti bez souhlasu objednatele třetím osobám nebo je využít pro sebe nebo pro jiné osoby, pokud by to bylo v rozporu se zájmy objednatele. Tyto údaje je poskytovatel oprávněn používat výhradně pro splnění předmětu této smlouvy. Tato povinnost trvá i po ukončení práce s údaji nebo ukončení účinnosti této smlouvy. V případě porušení této povinnosti je objednatel oprávněn požadovat na poskytovateli náhradu vzniklých škod dle platných právních předpisů.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7"/>
        </w:numPr>
        <w:spacing w:before="0" w:after="0" w:line="280" w:lineRule="atLeast"/>
        <w:ind w:hanging="720"/>
      </w:pPr>
      <w:r w:rsidRPr="00F71430">
        <w:t>Nemůže-li poskytovatel</w:t>
      </w:r>
      <w:r w:rsidRPr="00F71430" w:rsidDel="00AE5F13">
        <w:t xml:space="preserve"> </w:t>
      </w:r>
      <w:r w:rsidRPr="00F71430">
        <w:t>vykonávat svou činnost, musí o tom bez zbytečného odkladu podat zprávu objednateli.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="00661AAE" w:rsidP="002A7F02" w:rsidRDefault="00661AAE">
      <w:pPr>
        <w:pStyle w:val="Odstavecseseznamem"/>
        <w:numPr>
          <w:ilvl w:val="0"/>
          <w:numId w:val="7"/>
        </w:numPr>
        <w:spacing w:before="0" w:after="0" w:line="280" w:lineRule="atLeast"/>
        <w:ind w:hanging="720"/>
      </w:pPr>
      <w:r w:rsidRPr="00103044">
        <w:t>P</w:t>
      </w:r>
      <w:r>
        <w:t>oskytovatel</w:t>
      </w:r>
      <w:r w:rsidRPr="00103044">
        <w:t xml:space="preserve"> se zavazuje během plnění smlouvy i po jejím ukončení zachovávat mlčenlivost o všech skutečnostech</w:t>
      </w:r>
      <w:smartTag w:uri="urn:schemas-microsoft-com:office:smarttags" w:element="PersonName">
        <w:r w:rsidRPr="00103044">
          <w:t>,</w:t>
        </w:r>
      </w:smartTag>
      <w:r w:rsidRPr="00103044">
        <w:t xml:space="preserve"> o kterých se dozví v souvislosti s plněním </w:t>
      </w:r>
      <w:r>
        <w:t xml:space="preserve">této </w:t>
      </w:r>
      <w:r w:rsidRPr="00103044">
        <w:t>smlouvy</w:t>
      </w:r>
      <w:r>
        <w:t>.</w:t>
      </w:r>
    </w:p>
    <w:p w:rsidR="00661AAE" w:rsidP="00222B90" w:rsidRDefault="00661AAE">
      <w:pPr>
        <w:pStyle w:val="Odstavecseseznamem"/>
        <w:spacing w:before="0" w:after="0" w:line="280" w:lineRule="atLeast"/>
        <w:ind w:left="0"/>
      </w:pPr>
    </w:p>
    <w:p w:rsidRPr="00222B90" w:rsidR="00661AAE" w:rsidP="002A7F02" w:rsidRDefault="00661AAE">
      <w:pPr>
        <w:pStyle w:val="Odstavecseseznamem"/>
        <w:numPr>
          <w:ilvl w:val="0"/>
          <w:numId w:val="7"/>
        </w:numPr>
        <w:spacing w:before="0" w:after="0" w:line="280" w:lineRule="atLeast"/>
        <w:ind w:hanging="720"/>
      </w:pPr>
      <w:r>
        <w:rPr>
          <w:rFonts w:cs="Arial"/>
        </w:rPr>
        <w:t>Poskytovatel</w:t>
      </w:r>
      <w:r w:rsidRPr="00103044">
        <w:rPr>
          <w:rFonts w:cs="Arial"/>
        </w:rPr>
        <w:t xml:space="preserve"> je povinen při kontrole poskytnout na vyžádání kontrolnímu orgánu daňovou evidenci v plném rozsahu. </w:t>
      </w:r>
      <w:r>
        <w:rPr>
          <w:rFonts w:cs="Arial"/>
        </w:rPr>
        <w:t>Poskytovatel</w:t>
      </w:r>
      <w:r w:rsidRPr="00103044">
        <w:rPr>
          <w:rFonts w:cs="Arial"/>
        </w:rPr>
        <w:t xml:space="preserve"> je podle ustanovení § 2 písm. e) zákona č. 320/2001 Sb.</w:t>
      </w:r>
      <w:smartTag w:uri="urn:schemas-microsoft-com:office:smarttags" w:element="PersonName">
        <w:r w:rsidRPr="00103044">
          <w:rPr>
            <w:rFonts w:cs="Arial"/>
          </w:rPr>
          <w:t>,</w:t>
        </w:r>
      </w:smartTag>
      <w:r w:rsidRPr="00103044">
        <w:rPr>
          <w:rFonts w:cs="Arial"/>
        </w:rPr>
        <w:t xml:space="preserve"> o finanční kontrole ve veřejné správě a o změně některých zákonů (zákon o finanční kontrole)</w:t>
      </w:r>
      <w:smartTag w:uri="urn:schemas-microsoft-com:office:smarttags" w:element="PersonName">
        <w:r w:rsidRPr="00103044">
          <w:rPr>
            <w:rFonts w:cs="Arial"/>
          </w:rPr>
          <w:t>,</w:t>
        </w:r>
      </w:smartTag>
      <w:r w:rsidRPr="00103044">
        <w:rPr>
          <w:rFonts w:cs="Arial"/>
        </w:rPr>
        <w:t xml:space="preserve"> ve znění pozdějších předpisů</w:t>
      </w:r>
      <w:smartTag w:uri="urn:schemas-microsoft-com:office:smarttags" w:element="PersonName">
        <w:r w:rsidRPr="00103044">
          <w:rPr>
            <w:rFonts w:cs="Arial"/>
          </w:rPr>
          <w:t>,</w:t>
        </w:r>
      </w:smartTag>
      <w:r w:rsidRPr="00103044">
        <w:rPr>
          <w:rFonts w:cs="Arial"/>
        </w:rPr>
        <w:t xml:space="preserve"> osobou povinou spolupůsobit při výkonu finanční kontroly</w:t>
      </w:r>
      <w:r>
        <w:rPr>
          <w:rFonts w:cs="Arial"/>
        </w:rPr>
        <w:t>.</w:t>
      </w:r>
    </w:p>
    <w:p w:rsidR="00661AAE" w:rsidP="00222B90" w:rsidRDefault="00661AAE">
      <w:pPr>
        <w:pStyle w:val="Odstavecseseznamem"/>
        <w:spacing w:before="0" w:after="0" w:line="280" w:lineRule="atLeast"/>
        <w:ind w:left="0"/>
      </w:pPr>
    </w:p>
    <w:p w:rsidRPr="00103044" w:rsidR="00661AAE" w:rsidP="002A7F02" w:rsidRDefault="00661AAE">
      <w:pPr>
        <w:pStyle w:val="Odstavecseseznamem"/>
        <w:numPr>
          <w:ilvl w:val="0"/>
          <w:numId w:val="7"/>
        </w:numPr>
        <w:spacing w:before="0" w:after="0" w:line="280" w:lineRule="atLeast"/>
        <w:ind w:hanging="720"/>
      </w:pPr>
      <w:r>
        <w:rPr>
          <w:rFonts w:cs="Arial"/>
        </w:rPr>
        <w:lastRenderedPageBreak/>
        <w:t>Poskytovatel je povinen po dobu plnění dle této smlouvy a po dobu 10 let od skončení plnění dle této smlouvy uchovávat doklady související s plněním dle této smlouvy a umožnit osobám oprávněným k výkonu kontroly projektu, z něhož je zakázka hrazena, provést kontrolu těchto dokumentů.</w:t>
      </w:r>
    </w:p>
    <w:p w:rsidRPr="00F71430" w:rsidR="00661AAE" w:rsidP="006B02D1" w:rsidRDefault="00661AAE">
      <w:pPr>
        <w:spacing w:before="0" w:after="0" w:line="280" w:lineRule="atLeast"/>
        <w:ind w:left="720" w:hanging="720"/>
        <w:rPr>
          <w:rFonts w:cs="Arial"/>
          <w:szCs w:val="20"/>
        </w:rPr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</w:pPr>
      <w:r w:rsidRPr="00F71430">
        <w:t>Kontaktní údaje smluvních stran</w:t>
      </w:r>
    </w:p>
    <w:p w:rsidRPr="00F71430" w:rsidR="00661AAE" w:rsidP="002A7F02" w:rsidRDefault="00661AAE">
      <w:pPr>
        <w:pStyle w:val="Odstavecseseznamem"/>
        <w:numPr>
          <w:ilvl w:val="0"/>
          <w:numId w:val="9"/>
        </w:numPr>
        <w:spacing w:before="0" w:after="0" w:line="280" w:lineRule="atLeast"/>
        <w:ind w:hanging="720"/>
      </w:pPr>
      <w:r w:rsidRPr="00F71430">
        <w:t>Kontaktní osoby objednatele:</w:t>
      </w:r>
    </w:p>
    <w:p w:rsidRPr="00F71430" w:rsidR="00661AAE" w:rsidP="006B02D1" w:rsidRDefault="00661AAE">
      <w:pPr>
        <w:pStyle w:val="Odstavecseseznamem"/>
        <w:spacing w:before="0" w:after="0" w:line="280" w:lineRule="atLeast"/>
      </w:pPr>
    </w:p>
    <w:tbl>
      <w:tblPr>
        <w:tblW w:w="8363" w:type="dxa"/>
        <w:tblInd w:w="817" w:type="dxa"/>
        <w:tblBorders>
          <w:top w:val="single" w:color="17365D" w:sz="12" w:space="0"/>
          <w:bottom w:val="single" w:color="17365D" w:sz="12" w:space="0"/>
        </w:tblBorders>
        <w:tblLook w:firstRow="1" w:lastRow="0" w:firstColumn="1" w:lastColumn="0" w:noHBand="0" w:noVBand="0" w:val="00A0"/>
      </w:tblPr>
      <w:tblGrid>
        <w:gridCol w:w="4606"/>
        <w:gridCol w:w="3757"/>
      </w:tblGrid>
      <w:tr w:rsidRPr="00F71430" w:rsidR="00661AAE" w:rsidTr="00887CE2">
        <w:tc>
          <w:tcPr>
            <w:tcW w:w="4606" w:type="dxa"/>
            <w:tcBorders>
              <w:top w:val="single" w:color="17365D" w:sz="12" w:space="0"/>
              <w:bottom w:val="single" w:color="17365D" w:sz="4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  <w:ind w:left="34"/>
            </w:pPr>
          </w:p>
        </w:tc>
        <w:tc>
          <w:tcPr>
            <w:tcW w:w="3757" w:type="dxa"/>
            <w:tcBorders>
              <w:top w:val="single" w:color="17365D" w:sz="12" w:space="0"/>
              <w:bottom w:val="single" w:color="17365D" w:sz="4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</w:tr>
      <w:tr w:rsidRPr="00F71430" w:rsidR="00661AAE" w:rsidTr="00887CE2">
        <w:tc>
          <w:tcPr>
            <w:tcW w:w="4606" w:type="dxa"/>
            <w:tcBorders>
              <w:bottom w:val="single" w:color="17365D" w:sz="12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  <w:tc>
          <w:tcPr>
            <w:tcW w:w="3757" w:type="dxa"/>
            <w:tcBorders>
              <w:bottom w:val="single" w:color="17365D" w:sz="12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</w:tr>
    </w:tbl>
    <w:p w:rsidRPr="00F71430" w:rsidR="00661AAE" w:rsidP="006B02D1" w:rsidRDefault="00661AAE">
      <w:pPr>
        <w:spacing w:before="0" w:after="0" w:line="280" w:lineRule="atLeast"/>
      </w:pPr>
    </w:p>
    <w:p w:rsidRPr="00F71430" w:rsidR="00661AAE" w:rsidP="002A7F02" w:rsidRDefault="00661AAE">
      <w:pPr>
        <w:pStyle w:val="Odstavecseseznamem"/>
        <w:numPr>
          <w:ilvl w:val="0"/>
          <w:numId w:val="9"/>
        </w:numPr>
        <w:spacing w:before="0" w:after="0" w:line="280" w:lineRule="atLeast"/>
        <w:ind w:hanging="720"/>
      </w:pPr>
      <w:r w:rsidRPr="00F71430">
        <w:t>Kontaktní osoby poskytovatele:</w:t>
      </w:r>
    </w:p>
    <w:p w:rsidRPr="00F71430" w:rsidR="00661AAE" w:rsidP="006B02D1" w:rsidRDefault="00661AAE">
      <w:pPr>
        <w:pStyle w:val="Odstavecseseznamem"/>
        <w:spacing w:before="0" w:after="0" w:line="280" w:lineRule="atLeast"/>
      </w:pPr>
    </w:p>
    <w:tbl>
      <w:tblPr>
        <w:tblW w:w="8363" w:type="dxa"/>
        <w:tblInd w:w="817" w:type="dxa"/>
        <w:tblBorders>
          <w:top w:val="single" w:color="17365D" w:sz="12" w:space="0"/>
          <w:bottom w:val="single" w:color="17365D" w:sz="12" w:space="0"/>
        </w:tblBorders>
        <w:tblLook w:firstRow="1" w:lastRow="0" w:firstColumn="1" w:lastColumn="0" w:noHBand="0" w:noVBand="0" w:val="00A0"/>
      </w:tblPr>
      <w:tblGrid>
        <w:gridCol w:w="4606"/>
        <w:gridCol w:w="3757"/>
      </w:tblGrid>
      <w:tr w:rsidRPr="00F71430" w:rsidR="00661AAE" w:rsidTr="00887CE2">
        <w:tc>
          <w:tcPr>
            <w:tcW w:w="4606" w:type="dxa"/>
            <w:tcBorders>
              <w:top w:val="single" w:color="17365D" w:sz="12" w:space="0"/>
              <w:bottom w:val="single" w:color="17365D" w:sz="4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  <w:ind w:left="34"/>
            </w:pPr>
          </w:p>
        </w:tc>
        <w:tc>
          <w:tcPr>
            <w:tcW w:w="3757" w:type="dxa"/>
            <w:tcBorders>
              <w:top w:val="single" w:color="17365D" w:sz="12" w:space="0"/>
              <w:bottom w:val="single" w:color="17365D" w:sz="4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</w:tr>
      <w:tr w:rsidRPr="00F71430" w:rsidR="00661AAE" w:rsidTr="00887CE2">
        <w:tc>
          <w:tcPr>
            <w:tcW w:w="4606" w:type="dxa"/>
            <w:tcBorders>
              <w:bottom w:val="single" w:color="17365D" w:sz="12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  <w:tc>
          <w:tcPr>
            <w:tcW w:w="3757" w:type="dxa"/>
            <w:tcBorders>
              <w:bottom w:val="single" w:color="17365D" w:sz="12" w:space="0"/>
            </w:tcBorders>
          </w:tcPr>
          <w:p w:rsidRPr="00F71430" w:rsidR="00661AAE" w:rsidP="006B02D1" w:rsidRDefault="00661AAE">
            <w:pPr>
              <w:spacing w:before="0" w:after="0" w:line="280" w:lineRule="atLeast"/>
            </w:pPr>
          </w:p>
        </w:tc>
      </w:tr>
    </w:tbl>
    <w:p w:rsidRPr="00F71430" w:rsidR="00661AAE" w:rsidP="006B02D1" w:rsidRDefault="00661AAE">
      <w:pPr>
        <w:spacing w:before="0" w:after="0" w:line="280" w:lineRule="atLeast"/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</w:pPr>
      <w:r w:rsidRPr="00F71430">
        <w:t>Zánik smlouvy</w:t>
      </w:r>
      <w:r>
        <w:t xml:space="preserve"> a sankce</w:t>
      </w:r>
    </w:p>
    <w:p w:rsidR="00661AAE" w:rsidP="00DF2383" w:rsidRDefault="00661AAE">
      <w:pPr>
        <w:spacing w:before="0" w:after="0" w:line="280" w:lineRule="atLeast"/>
        <w:ind w:left="709" w:hanging="709"/>
      </w:pPr>
      <w:r w:rsidRPr="00F71430">
        <w:t xml:space="preserve">VIII.1. Objednatel má právo jednostranně písemně vypovědět smlouvu bez udání důvodu; výpovědní lhůta počíná běžet od prvního dne následujícího kalendářního měsíce po doručení výpovědi </w:t>
      </w:r>
      <w:r w:rsidR="006D6E6F">
        <w:t xml:space="preserve">poskytovateli </w:t>
      </w:r>
      <w:r w:rsidRPr="00F71430">
        <w:t>a činí 1 měsíc. Poskytovatel má právo na úhradu nákladů, které mu prokazatelně vznikly v souvislosti s realizací projektu.</w:t>
      </w:r>
    </w:p>
    <w:p w:rsidR="00661AAE" w:rsidP="00DF2383" w:rsidRDefault="00661AAE">
      <w:pPr>
        <w:spacing w:before="0" w:after="0" w:line="280" w:lineRule="atLeast"/>
        <w:ind w:left="709" w:hanging="709"/>
      </w:pPr>
    </w:p>
    <w:p w:rsidRPr="00F71430" w:rsidR="00661AAE" w:rsidP="00DF2383" w:rsidRDefault="00661AAE">
      <w:pPr>
        <w:spacing w:before="0" w:after="0" w:line="280" w:lineRule="atLeast"/>
        <w:ind w:left="709" w:hanging="709"/>
      </w:pPr>
      <w:r>
        <w:t xml:space="preserve">VIII.2. Objednatel má právo </w:t>
      </w:r>
      <w:r w:rsidR="00D06C5C">
        <w:t>odstoupit od smlouvy</w:t>
      </w:r>
      <w:r>
        <w:t xml:space="preserve"> při podstatném porušení povinností poskytovatele vyplývající z této smlouvy. </w:t>
      </w:r>
      <w:r w:rsidR="00D30835">
        <w:t xml:space="preserve">Účinky </w:t>
      </w:r>
      <w:r w:rsidR="005103E8">
        <w:t>odstoupení</w:t>
      </w:r>
      <w:r w:rsidR="00D30835">
        <w:t xml:space="preserve"> nastanou prvním dnem následujícím po doručení </w:t>
      </w:r>
      <w:r w:rsidR="005103E8">
        <w:t xml:space="preserve">písemného </w:t>
      </w:r>
      <w:r w:rsidR="006D6E6F">
        <w:t xml:space="preserve">oznámení o </w:t>
      </w:r>
      <w:r w:rsidR="005103E8">
        <w:t>odstoupení poskytovateli</w:t>
      </w:r>
      <w:r w:rsidR="00D30835">
        <w:t xml:space="preserve">. Za podstatné </w:t>
      </w:r>
      <w:r>
        <w:t>porušení povinností je</w:t>
      </w:r>
      <w:r w:rsidR="00D30835">
        <w:t xml:space="preserve"> považováno</w:t>
      </w:r>
      <w:r w:rsidR="00722825">
        <w:t xml:space="preserve"> zejména</w:t>
      </w:r>
      <w:r w:rsidR="00D30835">
        <w:t>:</w:t>
      </w:r>
    </w:p>
    <w:p w:rsidR="005103E8" w:rsidP="002A7F02" w:rsidRDefault="005103E8">
      <w:pPr>
        <w:pStyle w:val="Odstavecseseznamem"/>
        <w:numPr>
          <w:ilvl w:val="0"/>
          <w:numId w:val="11"/>
        </w:numPr>
        <w:spacing w:before="0" w:after="0" w:line="280" w:lineRule="atLeast"/>
      </w:pPr>
      <w:r>
        <w:t xml:space="preserve">zaviněné prodlení s plněním </w:t>
      </w:r>
      <w:r w:rsidR="006D6E6F">
        <w:t>dle této smlouvy</w:t>
      </w:r>
      <w:r>
        <w:t xml:space="preserve"> trvající déle než 1 měsíc;</w:t>
      </w:r>
    </w:p>
    <w:p w:rsidR="005103E8" w:rsidP="002A7F02" w:rsidRDefault="005103E8">
      <w:pPr>
        <w:pStyle w:val="Odstavecseseznamem"/>
        <w:numPr>
          <w:ilvl w:val="0"/>
          <w:numId w:val="11"/>
        </w:numPr>
        <w:spacing w:before="0" w:after="0" w:line="280" w:lineRule="atLeast"/>
      </w:pPr>
      <w:r>
        <w:t>vykazování neexistujících plnění (i v případě vykazování jen jednoho neexistujícího plnění);</w:t>
      </w:r>
    </w:p>
    <w:p w:rsidR="00661AAE" w:rsidP="002A7F02" w:rsidRDefault="005103E8">
      <w:pPr>
        <w:pStyle w:val="Odstavecseseznamem"/>
        <w:numPr>
          <w:ilvl w:val="0"/>
          <w:numId w:val="11"/>
        </w:numPr>
        <w:spacing w:before="0" w:after="0" w:line="280" w:lineRule="atLeast"/>
      </w:pPr>
      <w:r>
        <w:t>finanční nesrovnalosti, které poskytovatel neobjasní neprodleně po jejich zjištění</w:t>
      </w:r>
      <w:r w:rsidR="00E212C7">
        <w:t>;</w:t>
      </w:r>
    </w:p>
    <w:p w:rsidR="00E212C7" w:rsidP="002A7F02" w:rsidRDefault="00E212C7">
      <w:pPr>
        <w:pStyle w:val="Odstavecseseznamem"/>
        <w:numPr>
          <w:ilvl w:val="0"/>
          <w:numId w:val="11"/>
        </w:numPr>
        <w:spacing w:before="0" w:after="0" w:line="280" w:lineRule="atLeast"/>
      </w:pPr>
      <w:r>
        <w:t>jednání odporující poctivému obchodnímu styku a dobrým mravům závažným způsobem;</w:t>
      </w:r>
    </w:p>
    <w:p w:rsidR="00E212C7" w:rsidP="002A7F02" w:rsidRDefault="00E212C7">
      <w:pPr>
        <w:pStyle w:val="Odstavecseseznamem"/>
        <w:numPr>
          <w:ilvl w:val="0"/>
          <w:numId w:val="11"/>
        </w:numPr>
        <w:spacing w:before="0" w:after="0" w:line="280" w:lineRule="atLeast"/>
      </w:pPr>
      <w:r>
        <w:t xml:space="preserve">plnění poskytovatele neodpovídající kvalitě nebo rozsahu prací sjednaných touto smlouvou v případě, že poskytovatel ani přes písemné upozornění objednatele </w:t>
      </w:r>
      <w:r w:rsidR="00722825">
        <w:t xml:space="preserve">v přiměřené době </w:t>
      </w:r>
      <w:r>
        <w:t>neučiní nápravu;</w:t>
      </w:r>
    </w:p>
    <w:p w:rsidR="00E212C7" w:rsidP="002A7F02" w:rsidRDefault="00E212C7">
      <w:pPr>
        <w:pStyle w:val="Odstavecseseznamem"/>
        <w:numPr>
          <w:ilvl w:val="0"/>
          <w:numId w:val="11"/>
        </w:numPr>
        <w:spacing w:before="0" w:after="0" w:line="280" w:lineRule="atLeast"/>
      </w:pPr>
      <w:r>
        <w:t>situace, kdy poskytovatel ztratí způsobilost či předpoklady pro poskytování služeb dle této smlouvy.</w:t>
      </w:r>
    </w:p>
    <w:p w:rsidR="004F7A87" w:rsidP="004F7A87" w:rsidRDefault="004F7A87">
      <w:pPr>
        <w:spacing w:before="0" w:after="0" w:line="280" w:lineRule="atLeast"/>
      </w:pPr>
    </w:p>
    <w:p w:rsidRPr="004F7A87" w:rsidR="004F7A87" w:rsidP="004F7A87" w:rsidRDefault="004F7A87">
      <w:pPr>
        <w:spacing w:before="0" w:after="0" w:line="280" w:lineRule="atLeast"/>
        <w:ind w:left="705"/>
        <w:rPr>
          <w:rFonts w:cs="Arial"/>
        </w:rPr>
      </w:pPr>
      <w:r w:rsidRPr="004F7A87">
        <w:rPr>
          <w:rFonts w:cs="Arial"/>
        </w:rPr>
        <w:t xml:space="preserve">Objednatel má dále právo odstoupit od smlouvy v případě, že probíhá insolvenční řízení proti majetku </w:t>
      </w:r>
      <w:r w:rsidR="006D6E6F">
        <w:rPr>
          <w:rFonts w:cs="Arial"/>
        </w:rPr>
        <w:t>poskytovatele</w:t>
      </w:r>
      <w:r w:rsidRPr="004F7A87">
        <w:rPr>
          <w:rFonts w:cs="Arial"/>
        </w:rPr>
        <w:t xml:space="preserve">, v němž bylo vydáno rozhodnutí o úpadku nebo insolvenční návrh byl zamítnut proto, že majetek </w:t>
      </w:r>
      <w:r w:rsidR="006D6E6F">
        <w:rPr>
          <w:rFonts w:cs="Arial"/>
        </w:rPr>
        <w:t>poskytovatele</w:t>
      </w:r>
      <w:r w:rsidRPr="004F7A87">
        <w:rPr>
          <w:rFonts w:cs="Arial"/>
        </w:rPr>
        <w:t xml:space="preserve"> nepostačuje k úhradě </w:t>
      </w:r>
      <w:r w:rsidRPr="004F7A87">
        <w:rPr>
          <w:rFonts w:cs="Arial"/>
        </w:rPr>
        <w:lastRenderedPageBreak/>
        <w:t xml:space="preserve">nákladů insolvenčního řízení, nebo byl konkurs zrušen proto, že majetek </w:t>
      </w:r>
      <w:r w:rsidR="006D6E6F">
        <w:rPr>
          <w:rFonts w:cs="Arial"/>
        </w:rPr>
        <w:t>poskytovatele</w:t>
      </w:r>
      <w:r w:rsidRPr="004F7A87">
        <w:rPr>
          <w:rFonts w:cs="Arial"/>
        </w:rPr>
        <w:t xml:space="preserve"> </w:t>
      </w:r>
      <w:r w:rsidR="006D6E6F">
        <w:rPr>
          <w:rFonts w:cs="Arial"/>
        </w:rPr>
        <w:t>je</w:t>
      </w:r>
      <w:r w:rsidRPr="004F7A87">
        <w:rPr>
          <w:rFonts w:cs="Arial"/>
        </w:rPr>
        <w:t xml:space="preserve"> zcela nepostačující.</w:t>
      </w:r>
    </w:p>
    <w:p w:rsidRPr="00F71430" w:rsidR="004F7A87" w:rsidP="004F7A87" w:rsidRDefault="004F7A87">
      <w:pPr>
        <w:spacing w:before="0" w:after="0" w:line="280" w:lineRule="atLeast"/>
        <w:ind w:left="705"/>
      </w:pPr>
    </w:p>
    <w:p w:rsidR="00661AAE" w:rsidP="000B4BE5" w:rsidRDefault="00661AAE">
      <w:pPr>
        <w:spacing w:before="0" w:after="0" w:line="280" w:lineRule="atLeast"/>
        <w:ind w:left="709" w:hanging="709"/>
      </w:pPr>
      <w:r w:rsidRPr="00F71430">
        <w:t>VIII.</w:t>
      </w:r>
      <w:r>
        <w:t>3</w:t>
      </w:r>
      <w:r w:rsidRPr="00F71430">
        <w:t>.</w:t>
      </w:r>
      <w:bookmarkStart w:name="_GoBack" w:id="1"/>
      <w:bookmarkEnd w:id="1"/>
      <w:r w:rsidRPr="00F71430">
        <w:t xml:space="preserve"> Smluvní vztah založený touto smlouvou může být skončen dohodou smluvních stran, ke dni v dohodě stanovenému.</w:t>
      </w:r>
    </w:p>
    <w:p w:rsidR="00661AAE" w:rsidP="000B4BE5" w:rsidRDefault="00661AAE">
      <w:pPr>
        <w:spacing w:before="0" w:after="0" w:line="280" w:lineRule="atLeast"/>
        <w:ind w:left="709" w:hanging="709"/>
      </w:pPr>
    </w:p>
    <w:p w:rsidRPr="004F7A87" w:rsidR="00661AAE" w:rsidP="000B4BE5" w:rsidRDefault="00661AAE">
      <w:pPr>
        <w:spacing w:before="0" w:after="0" w:line="280" w:lineRule="atLeast"/>
        <w:ind w:left="709" w:hanging="709"/>
      </w:pPr>
      <w:r w:rsidRPr="004F7A87">
        <w:t xml:space="preserve">VIII.4.  Poskytovatel se zavazuje uhradit objednateli smluvní pokutu ve výši </w:t>
      </w:r>
      <w:r w:rsidR="002930C7">
        <w:t xml:space="preserve">10.000,- </w:t>
      </w:r>
      <w:r w:rsidRPr="004F7A87">
        <w:t>Kč</w:t>
      </w:r>
      <w:r w:rsidR="002930C7">
        <w:t xml:space="preserve"> (slovy deset tisíc korun českých)</w:t>
      </w:r>
      <w:r w:rsidRPr="004F7A87">
        <w:t xml:space="preserve"> v případě porušení smluvní povinnosti dle této smlouvy</w:t>
      </w:r>
      <w:r w:rsidR="006D6E6F">
        <w:t>,</w:t>
      </w:r>
      <w:r w:rsidRPr="004F7A87">
        <w:t xml:space="preserve"> a to za každé jednotlivé porušení smluvní povinnosti.</w:t>
      </w:r>
    </w:p>
    <w:p w:rsidRPr="004F7A87" w:rsidR="00661AAE" w:rsidP="000B4BE5" w:rsidRDefault="00661AAE">
      <w:pPr>
        <w:spacing w:before="0" w:after="0" w:line="280" w:lineRule="atLeast"/>
        <w:ind w:left="709" w:hanging="709"/>
      </w:pPr>
    </w:p>
    <w:p w:rsidRPr="00F71430" w:rsidR="00661AAE" w:rsidP="000B4BE5" w:rsidRDefault="00661AAE">
      <w:pPr>
        <w:spacing w:before="0" w:after="0" w:line="280" w:lineRule="atLeast"/>
        <w:ind w:left="709" w:hanging="709"/>
      </w:pPr>
      <w:proofErr w:type="gramStart"/>
      <w:r w:rsidRPr="004F7A87">
        <w:t>VIII.5   Poskytovatel</w:t>
      </w:r>
      <w:proofErr w:type="gramEnd"/>
      <w:r w:rsidRPr="004F7A87">
        <w:t xml:space="preserve"> se zavazuje uhradit objednateli smluvní pokutu ve výši </w:t>
      </w:r>
      <w:r w:rsidR="002930C7">
        <w:t xml:space="preserve">10.000,- </w:t>
      </w:r>
      <w:r w:rsidRPr="005D362E" w:rsidR="002930C7">
        <w:t>Kč</w:t>
      </w:r>
      <w:r w:rsidR="002930C7">
        <w:t xml:space="preserve"> (slovy deset tisíc korun českých) </w:t>
      </w:r>
      <w:r w:rsidRPr="004F7A87">
        <w:t xml:space="preserve">v případě nenaplnění cílových indikátorů stanovených </w:t>
      </w:r>
      <w:r w:rsidR="002930C7">
        <w:t>Z</w:t>
      </w:r>
      <w:r w:rsidRPr="004F7A87" w:rsidR="002930C7">
        <w:t xml:space="preserve">adávací </w:t>
      </w:r>
      <w:r w:rsidRPr="004F7A87">
        <w:t>dokumentací a to za</w:t>
      </w:r>
      <w:r w:rsidR="006C2263">
        <w:t xml:space="preserve"> každou jednotku, o kterou bude výsledný indikátor nižší, než činí jeho povinná míra splnění.</w:t>
      </w:r>
    </w:p>
    <w:p w:rsidRPr="00F71430" w:rsidR="00661AAE" w:rsidP="006B02D1" w:rsidRDefault="00661AAE">
      <w:pPr>
        <w:spacing w:before="0" w:after="0" w:line="280" w:lineRule="atLeast"/>
      </w:pPr>
    </w:p>
    <w:p w:rsidRPr="00F71430" w:rsidR="00661AAE" w:rsidP="002A7F02" w:rsidRDefault="00661AAE">
      <w:pPr>
        <w:pStyle w:val="Nadpis1"/>
        <w:spacing w:before="360" w:line="280" w:lineRule="atLeast"/>
        <w:ind w:left="1077"/>
        <w:rPr>
          <w:strike/>
        </w:rPr>
      </w:pPr>
      <w:r w:rsidRPr="00F71430">
        <w:t>Závěrečná ustanovení</w:t>
      </w:r>
    </w:p>
    <w:p w:rsidRPr="00F71430"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F71430">
        <w:t>Ostatní práva a povinnosti smluvních stran se řídí příslušnými ustanoveními obchodního zákoníku a obecnými ustanoveními občanského zákoníku</w:t>
      </w:r>
      <w:r w:rsidR="00CB5F13">
        <w:t>, v aktuálním znění</w:t>
      </w:r>
      <w:r w:rsidRPr="00F71430">
        <w:t>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F71430">
        <w:t xml:space="preserve">V případě změny zákonů týkajících se předmětu smlouvy, zůstává tato smlouva </w:t>
      </w:r>
      <w:r w:rsidR="00CB5F13">
        <w:t>platnou a účinnou</w:t>
      </w:r>
      <w:r w:rsidRPr="00F71430">
        <w:t xml:space="preserve"> a obě smluvní strany se zavazují provést úpravu této smlouvy v souladu s </w:t>
      </w:r>
      <w:r w:rsidR="00CB5F13">
        <w:t>touto</w:t>
      </w:r>
      <w:r w:rsidRPr="00F71430">
        <w:t xml:space="preserve"> změnou zákonů.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CB5F13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>
        <w:t>Stane-li se</w:t>
      </w:r>
      <w:r w:rsidRPr="00F71430" w:rsidR="00661AAE">
        <w:t xml:space="preserve"> některé ustanovení této smlouvy </w:t>
      </w:r>
      <w:r>
        <w:t>neúčinným</w:t>
      </w:r>
      <w:r w:rsidRPr="00F71430" w:rsidR="00661AAE">
        <w:t>, není tím dotčena účinnost ostatních ustanovení</w:t>
      </w:r>
      <w:r>
        <w:t xml:space="preserve"> smlouvy</w:t>
      </w:r>
      <w:r w:rsidRPr="00F71430" w:rsidR="00661AAE">
        <w:t>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F71430">
        <w:t>V případě nejasnosti ve výkladu při plnění předmětu smlouvy, či v případech výslovně neupravených touto smlouvou platí, že je vždy rozhodující Zadávací dokumentace, která je nedílnou součástí této smlouvy, v pořadí druhém pak Nabídka uchazeče na realizaci veřejné zakázky.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F71430">
        <w:t>Tuto smlouvu včetně příloh lze měnit a doplňovat na základě vzájemně písemně odsouhlasených a číslovaných dodatků vlastnoručně podepsaných oprávněnými zástupci smluvních stran v souladu se zákonem č. 137/2006 Sb., o veřejných zakázkách, ve znění pozdějších předpisů.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F71430">
        <w:t>Smluvní strany shodně prohlašují, že souhlasí s obsahem této smlouvy, a že smlouvu uzavřely podle své svobodné vůle, což potvrzují svými podpisy.</w:t>
      </w:r>
    </w:p>
    <w:p w:rsidR="00661AAE" w:rsidP="001E3377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C27AC3">
        <w:t xml:space="preserve">Poskytovatel se zavazuje, že poskytne objednateli součinnost, aby objednatel mohl dostát svým povinnostem dle </w:t>
      </w:r>
      <w:r w:rsidR="00CB5F13">
        <w:t xml:space="preserve">ustanovení </w:t>
      </w:r>
      <w:r w:rsidRPr="00C27AC3">
        <w:t xml:space="preserve">§ 147a </w:t>
      </w:r>
      <w:r w:rsidRPr="00F71430">
        <w:t xml:space="preserve">zákona č. 137/2006 Sb., o veřejných zakázkách, </w:t>
      </w:r>
      <w:r w:rsidR="00CB5F13">
        <w:t>ve znění pozdějších předpisů</w:t>
      </w:r>
      <w:r w:rsidRPr="00C27AC3">
        <w:t>, zejména mu na jeho žádost poskytne seznam subdodavatelů podílejících se na provádění díla</w:t>
      </w:r>
      <w:r w:rsidR="008C2278">
        <w:t>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F71430">
        <w:lastRenderedPageBreak/>
        <w:t xml:space="preserve">Tato smlouva je sepsána ve </w:t>
      </w:r>
      <w:r w:rsidR="006C2263">
        <w:t>čtyřech</w:t>
      </w:r>
      <w:r w:rsidRPr="00F71430" w:rsidR="006C2263">
        <w:t xml:space="preserve"> </w:t>
      </w:r>
      <w:r w:rsidRPr="00F71430">
        <w:t>vyhotoveních, z nichž každé má platnost originálu</w:t>
      </w:r>
      <w:r w:rsidR="006C2263">
        <w:t xml:space="preserve">, přičemž objednatel obdrží tři vyhotovení </w:t>
      </w:r>
      <w:r w:rsidRPr="00F71430">
        <w:t xml:space="preserve">a </w:t>
      </w:r>
      <w:r w:rsidR="006C2263">
        <w:t>poskytovatel jedno vyhotovení</w:t>
      </w:r>
      <w:r w:rsidRPr="00F71430">
        <w:t>.</w:t>
      </w:r>
    </w:p>
    <w:p w:rsidRPr="00F71430" w:rsidR="00661AAE" w:rsidP="006B02D1" w:rsidRDefault="00661AAE">
      <w:pPr>
        <w:pStyle w:val="Odstavecseseznamem"/>
        <w:spacing w:before="0" w:after="0" w:line="280" w:lineRule="atLeast"/>
        <w:ind w:left="0"/>
      </w:pPr>
    </w:p>
    <w:p w:rsidRPr="00F71430" w:rsidR="00661AAE" w:rsidP="002A7F02" w:rsidRDefault="00661AAE">
      <w:pPr>
        <w:pStyle w:val="Odstavecseseznamem"/>
        <w:numPr>
          <w:ilvl w:val="0"/>
          <w:numId w:val="8"/>
        </w:numPr>
        <w:spacing w:before="0" w:after="0" w:line="280" w:lineRule="atLeast"/>
        <w:ind w:hanging="720"/>
      </w:pPr>
      <w:r w:rsidRPr="00F71430">
        <w:t>Platnosti a účinnosti nabývá smlouva dnem podpisu smlouvy oběma stranami, resp. pozdějším dnem podpisu jedné smluvní strany.</w:t>
      </w:r>
    </w:p>
    <w:p w:rsidRPr="00F71430" w:rsidR="00661AAE" w:rsidP="006B02D1" w:rsidRDefault="00661AAE">
      <w:pPr>
        <w:spacing w:before="0" w:after="0" w:line="280" w:lineRule="atLeast"/>
        <w:rPr>
          <w:rFonts w:ascii="Times New Roman" w:hAnsi="Times New Roman"/>
          <w:b/>
          <w:sz w:val="24"/>
          <w:szCs w:val="24"/>
        </w:rPr>
      </w:pPr>
    </w:p>
    <w:p w:rsidRPr="00F71430" w:rsidR="00661AAE" w:rsidP="00C27AC3" w:rsidRDefault="00661AAE">
      <w:pPr>
        <w:tabs>
          <w:tab w:val="left" w:pos="720"/>
          <w:tab w:val="left" w:pos="1080"/>
          <w:tab w:val="left" w:pos="1275"/>
        </w:tabs>
        <w:spacing w:before="0" w:after="0" w:line="280" w:lineRule="atLeast"/>
        <w:rPr>
          <w:smallCaps/>
        </w:rPr>
      </w:pPr>
      <w:r>
        <w:rPr>
          <w:smallCaps/>
        </w:rPr>
        <w:t>IX.10.</w:t>
      </w:r>
      <w:r w:rsidRPr="00F71430">
        <w:rPr>
          <w:smallCaps/>
        </w:rPr>
        <w:t xml:space="preserve">      Nedílnou součástí této smlouvy jsou:</w:t>
      </w:r>
    </w:p>
    <w:p w:rsidRPr="00F71430" w:rsidR="00661AAE" w:rsidP="006B02D1" w:rsidRDefault="00661AAE">
      <w:pPr>
        <w:tabs>
          <w:tab w:val="left" w:pos="1275"/>
        </w:tabs>
        <w:spacing w:before="0" w:after="0" w:line="280" w:lineRule="atLeast"/>
        <w:rPr>
          <w:smallCaps/>
        </w:rPr>
      </w:pPr>
    </w:p>
    <w:p w:rsidR="00FE4240" w:rsidP="002A7F02" w:rsidRDefault="00FE4240">
      <w:pPr>
        <w:pStyle w:val="Odstavecseseznamem"/>
        <w:numPr>
          <w:ilvl w:val="0"/>
          <w:numId w:val="12"/>
        </w:numPr>
        <w:spacing w:before="0" w:after="0" w:line="280" w:lineRule="atLeast"/>
      </w:pPr>
      <w:r>
        <w:t>H</w:t>
      </w:r>
      <w:r w:rsidRPr="00F71430">
        <w:t>armonogramu</w:t>
      </w:r>
      <w:r>
        <w:t xml:space="preserve"> plnění</w:t>
      </w:r>
    </w:p>
    <w:p w:rsidRPr="00F71430" w:rsidR="00661AAE" w:rsidP="002A7F02" w:rsidRDefault="00FE4240">
      <w:pPr>
        <w:pStyle w:val="Odstavecseseznamem"/>
        <w:numPr>
          <w:ilvl w:val="0"/>
          <w:numId w:val="12"/>
        </w:numPr>
        <w:spacing w:before="0" w:after="0" w:line="280" w:lineRule="atLeast"/>
      </w:pPr>
      <w:r w:rsidRPr="00FC385A">
        <w:t xml:space="preserve">Rozpočet </w:t>
      </w:r>
      <w:r>
        <w:t>poskytovatele</w:t>
      </w:r>
    </w:p>
    <w:p w:rsidRPr="00F71430" w:rsidR="00661AAE" w:rsidP="000B4BE5" w:rsidRDefault="00661AAE">
      <w:pPr>
        <w:pStyle w:val="Odstavecseseznamem"/>
        <w:spacing w:before="0" w:after="0" w:line="280" w:lineRule="atLeast"/>
      </w:pPr>
    </w:p>
    <w:p w:rsidRPr="002A7F02" w:rsidR="00661AAE" w:rsidP="002A7F02" w:rsidRDefault="00FE4240">
      <w:pPr>
        <w:tabs>
          <w:tab w:val="left" w:pos="1275"/>
        </w:tabs>
        <w:spacing w:before="0" w:after="0" w:line="280" w:lineRule="atLeast"/>
        <w:rPr>
          <w:smallCaps/>
        </w:rPr>
      </w:pPr>
      <w:r>
        <w:rPr>
          <w:smallCaps/>
        </w:rPr>
        <w:tab/>
      </w:r>
    </w:p>
    <w:p w:rsidRPr="00F71430" w:rsidR="00661AAE" w:rsidP="00C06099" w:rsidRDefault="00661AAE">
      <w:pPr>
        <w:spacing w:before="0" w:after="0" w:line="280" w:lineRule="atLeast"/>
      </w:pPr>
    </w:p>
    <w:p w:rsidRPr="00F71430" w:rsidR="00661AAE" w:rsidP="006B02D1" w:rsidRDefault="00661AAE">
      <w:pPr>
        <w:spacing w:before="0" w:after="0" w:line="280" w:lineRule="atLeast"/>
        <w:rPr>
          <w:rFonts w:ascii="Times New Roman" w:hAnsi="Times New Roman"/>
          <w:strike/>
          <w:sz w:val="24"/>
          <w:szCs w:val="24"/>
        </w:rPr>
      </w:pP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4536"/>
        <w:gridCol w:w="4536"/>
      </w:tblGrid>
      <w:tr w:rsidRPr="00F71430" w:rsidR="00661AAE" w:rsidTr="00887CE2">
        <w:tc>
          <w:tcPr>
            <w:tcW w:w="4536" w:type="dxa"/>
            <w:tcBorders>
              <w:top w:val="single" w:color="244061" w:sz="12" w:space="0"/>
              <w:left w:val="nil"/>
              <w:bottom w:val="single" w:color="FFFFFF" w:sz="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ind w:left="34" w:hanging="34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Datum:</w:t>
            </w:r>
          </w:p>
        </w:tc>
        <w:tc>
          <w:tcPr>
            <w:tcW w:w="4536" w:type="dxa"/>
            <w:tcBorders>
              <w:top w:val="single" w:color="244061" w:sz="1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ind w:left="230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Datum:</w:t>
            </w:r>
          </w:p>
        </w:tc>
      </w:tr>
      <w:tr w:rsidRPr="00F71430" w:rsidR="00661AAE" w:rsidTr="00887CE2">
        <w:tc>
          <w:tcPr>
            <w:tcW w:w="4536" w:type="dxa"/>
            <w:tcBorders>
              <w:top w:val="single" w:color="FFFFFF" w:sz="2" w:space="0"/>
              <w:left w:val="nil"/>
              <w:bottom w:val="single" w:color="244061" w:sz="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FFFFFF" w:sz="2" w:space="0"/>
              <w:left w:val="single" w:color="FFFFFF" w:sz="2" w:space="0"/>
              <w:bottom w:val="single" w:color="244061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</w:tr>
      <w:tr w:rsidRPr="00F71430" w:rsidR="00661AAE" w:rsidTr="00887CE2">
        <w:tc>
          <w:tcPr>
            <w:tcW w:w="4536" w:type="dxa"/>
            <w:tcBorders>
              <w:top w:val="single" w:color="244061" w:sz="2" w:space="0"/>
              <w:left w:val="nil"/>
              <w:bottom w:val="single" w:color="FFFFFF" w:sz="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Místo:</w:t>
            </w:r>
          </w:p>
        </w:tc>
        <w:tc>
          <w:tcPr>
            <w:tcW w:w="4536" w:type="dxa"/>
            <w:tcBorders>
              <w:top w:val="single" w:color="244061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ind w:left="230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Místo:</w:t>
            </w:r>
          </w:p>
        </w:tc>
      </w:tr>
      <w:tr w:rsidRPr="00F71430" w:rsidR="00661AAE" w:rsidTr="00887CE2">
        <w:tc>
          <w:tcPr>
            <w:tcW w:w="4536" w:type="dxa"/>
            <w:tcBorders>
              <w:top w:val="single" w:color="FFFFFF" w:sz="2" w:space="0"/>
              <w:left w:val="nil"/>
              <w:bottom w:val="single" w:color="244061" w:sz="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FFFFFF" w:sz="2" w:space="0"/>
              <w:left w:val="single" w:color="FFFFFF" w:sz="2" w:space="0"/>
              <w:bottom w:val="single" w:color="244061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</w:tr>
      <w:tr w:rsidRPr="00F71430" w:rsidR="00661AAE" w:rsidTr="00887CE2">
        <w:tc>
          <w:tcPr>
            <w:tcW w:w="4536" w:type="dxa"/>
            <w:tcBorders>
              <w:top w:val="single" w:color="244061" w:sz="2" w:space="0"/>
              <w:left w:val="nil"/>
              <w:bottom w:val="single" w:color="FFFFFF" w:sz="2" w:space="0"/>
              <w:right w:val="single" w:color="FFFFFF" w:sz="2" w:space="0"/>
            </w:tcBorders>
          </w:tcPr>
          <w:p w:rsidRPr="00F71430" w:rsidR="00661AAE" w:rsidP="00C06099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Otisk razítka:</w:t>
            </w:r>
          </w:p>
        </w:tc>
        <w:tc>
          <w:tcPr>
            <w:tcW w:w="4536" w:type="dxa"/>
            <w:tcBorders>
              <w:top w:val="single" w:color="244061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ind w:left="230"/>
              <w:rPr>
                <w:strike/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 xml:space="preserve">Otisk razítka: </w:t>
            </w:r>
          </w:p>
        </w:tc>
      </w:tr>
      <w:tr w:rsidRPr="00F71430" w:rsidR="00661AAE" w:rsidTr="00887CE2">
        <w:tc>
          <w:tcPr>
            <w:tcW w:w="4536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</w:tr>
      <w:tr w:rsidRPr="00F71430" w:rsidR="00661AAE" w:rsidTr="00887CE2">
        <w:tc>
          <w:tcPr>
            <w:tcW w:w="4536" w:type="dxa"/>
            <w:tcBorders>
              <w:top w:val="single" w:color="FFFFFF" w:sz="2" w:space="0"/>
              <w:left w:val="nil"/>
              <w:bottom w:val="single" w:color="244061" w:sz="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FFFFFF" w:sz="2" w:space="0"/>
              <w:left w:val="single" w:color="FFFFFF" w:sz="2" w:space="0"/>
              <w:bottom w:val="single" w:color="244061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</w:tr>
      <w:tr w:rsidRPr="00F71430" w:rsidR="00661AAE" w:rsidTr="00887CE2">
        <w:trPr>
          <w:trHeight w:val="841"/>
        </w:trPr>
        <w:tc>
          <w:tcPr>
            <w:tcW w:w="4536" w:type="dxa"/>
            <w:tcBorders>
              <w:top w:val="single" w:color="244061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jc w:val="left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4536" w:type="dxa"/>
            <w:tcBorders>
              <w:top w:val="single" w:color="244061" w:sz="2" w:space="0"/>
              <w:left w:val="single" w:color="FFFFFF" w:sz="2" w:space="0"/>
              <w:bottom w:val="single" w:color="FFFFFF" w:sz="2" w:space="0"/>
              <w:right w:val="nil"/>
            </w:tcBorders>
            <w:vAlign w:val="bottom"/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ind w:left="230"/>
              <w:jc w:val="left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……………………………………….</w:t>
            </w:r>
          </w:p>
        </w:tc>
      </w:tr>
      <w:tr w:rsidRPr="00F71430" w:rsidR="00661AAE" w:rsidTr="00887CE2">
        <w:trPr>
          <w:trHeight w:val="413"/>
        </w:trPr>
        <w:tc>
          <w:tcPr>
            <w:tcW w:w="4536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jc w:val="left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(objednatel)</w:t>
            </w:r>
          </w:p>
        </w:tc>
        <w:tc>
          <w:tcPr>
            <w:tcW w:w="453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ind w:left="230"/>
              <w:jc w:val="left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(poskytovatel)</w:t>
            </w:r>
          </w:p>
        </w:tc>
      </w:tr>
      <w:tr w:rsidRPr="00F71430" w:rsidR="00661AAE" w:rsidTr="00887CE2">
        <w:trPr>
          <w:trHeight w:val="75"/>
        </w:trPr>
        <w:tc>
          <w:tcPr>
            <w:tcW w:w="4536" w:type="dxa"/>
            <w:tcBorders>
              <w:top w:val="single" w:color="FFFFFF" w:sz="2" w:space="0"/>
              <w:left w:val="nil"/>
              <w:bottom w:val="single" w:color="244061" w:sz="12" w:space="0"/>
              <w:right w:val="single" w:color="FFFFFF" w:sz="2" w:space="0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FFFFFF" w:sz="2" w:space="0"/>
              <w:left w:val="single" w:color="FFFFFF" w:sz="2" w:space="0"/>
              <w:bottom w:val="single" w:color="244061" w:sz="12" w:space="0"/>
              <w:right w:val="nil"/>
            </w:tcBorders>
          </w:tcPr>
          <w:p w:rsidRPr="00F71430" w:rsidR="00661AAE" w:rsidP="006B02D1" w:rsidRDefault="00661AAE">
            <w:pPr>
              <w:tabs>
                <w:tab w:val="left" w:pos="4680"/>
              </w:tabs>
              <w:spacing w:before="0" w:after="0" w:line="280" w:lineRule="atLeast"/>
              <w:ind w:left="230"/>
              <w:rPr>
                <w:sz w:val="20"/>
                <w:szCs w:val="20"/>
              </w:rPr>
            </w:pPr>
            <w:r w:rsidRPr="00F71430">
              <w:rPr>
                <w:sz w:val="20"/>
                <w:szCs w:val="20"/>
              </w:rPr>
              <w:t>……………………………………….</w:t>
            </w:r>
          </w:p>
        </w:tc>
      </w:tr>
    </w:tbl>
    <w:p w:rsidRPr="00F71430" w:rsidR="00661AAE" w:rsidP="006B02D1" w:rsidRDefault="00661AAE">
      <w:pPr>
        <w:spacing w:before="0" w:after="0" w:line="280" w:lineRule="atLeast"/>
      </w:pPr>
    </w:p>
    <w:p w:rsidRPr="00F71430" w:rsidR="00661AAE" w:rsidP="006B02D1" w:rsidRDefault="00661AAE">
      <w:pPr>
        <w:spacing w:before="0" w:after="0" w:line="280" w:lineRule="atLeast"/>
      </w:pPr>
    </w:p>
    <w:sectPr w:rsidRPr="00F71430" w:rsidR="00661AAE" w:rsidSect="00771304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06143" w:rsidP="001C0221" w:rsidRDefault="00206143">
      <w:r>
        <w:separator/>
      </w:r>
    </w:p>
  </w:endnote>
  <w:endnote w:type="continuationSeparator" w:id="0">
    <w:p w:rsidR="00206143" w:rsidP="001C0221" w:rsidRDefault="0020614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47751" w:rsidR="00206143" w:rsidP="001C0221" w:rsidRDefault="00206143">
    <w:pPr>
      <w:tabs>
        <w:tab w:val="right" w:pos="8100"/>
      </w:tabs>
      <w:rPr>
        <w:rFonts w:cs="Arial"/>
        <w:b/>
        <w:sz w:val="16"/>
        <w:szCs w:val="16"/>
      </w:rPr>
    </w:pPr>
    <w:r w:rsidRPr="00E47751">
      <w:rPr>
        <w:rFonts w:cs="Arial"/>
        <w:b/>
        <w:sz w:val="16"/>
        <w:szCs w:val="16"/>
      </w:rPr>
      <w:t xml:space="preserve">Rodičovství a práce </w:t>
    </w:r>
    <w:r w:rsidRPr="00E47751">
      <w:rPr>
        <w:b/>
        <w:sz w:val="16"/>
        <w:szCs w:val="16"/>
      </w:rPr>
      <w:t>CZ.1.04/2.1.00/70.00042</w:t>
    </w:r>
  </w:p>
  <w:p w:rsidRPr="00E5419D" w:rsidR="00206143" w:rsidP="001C0221" w:rsidRDefault="00206143">
    <w:pPr>
      <w:tabs>
        <w:tab w:val="left" w:pos="7513"/>
      </w:tabs>
      <w:ind w:right="-338"/>
      <w:rPr>
        <w:sz w:val="16"/>
        <w:szCs w:val="16"/>
      </w:rPr>
    </w:pPr>
    <w:r w:rsidRPr="00A17A95">
      <w:rPr>
        <w:sz w:val="16"/>
        <w:szCs w:val="16"/>
      </w:rPr>
      <w:t>Tento projekt je financován z prostředků ESF prostřednictvím OP LZZ a státního rozpočtu ČR.</w:t>
    </w:r>
    <w:r w:rsidRPr="00E5419D">
      <w:rPr>
        <w:sz w:val="16"/>
        <w:szCs w:val="16"/>
      </w:rPr>
      <w:tab/>
      <w:t xml:space="preserve">Strana </w:t>
    </w:r>
    <w:r w:rsidRPr="00E5419D">
      <w:rPr>
        <w:sz w:val="16"/>
        <w:szCs w:val="16"/>
      </w:rPr>
      <w:fldChar w:fldCharType="begin"/>
    </w:r>
    <w:r w:rsidRPr="00E5419D">
      <w:rPr>
        <w:sz w:val="16"/>
        <w:szCs w:val="16"/>
      </w:rPr>
      <w:instrText xml:space="preserve"> PAGE </w:instrText>
    </w:r>
    <w:r w:rsidRPr="00E5419D">
      <w:rPr>
        <w:sz w:val="16"/>
        <w:szCs w:val="16"/>
      </w:rPr>
      <w:fldChar w:fldCharType="separate"/>
    </w:r>
    <w:r w:rsidR="00107213">
      <w:rPr>
        <w:noProof/>
        <w:sz w:val="16"/>
        <w:szCs w:val="16"/>
      </w:rPr>
      <w:t>2</w:t>
    </w:r>
    <w:r w:rsidRPr="00E5419D">
      <w:rPr>
        <w:sz w:val="16"/>
        <w:szCs w:val="16"/>
      </w:rPr>
      <w:fldChar w:fldCharType="end"/>
    </w:r>
    <w:r w:rsidRPr="00E5419D">
      <w:rPr>
        <w:sz w:val="16"/>
        <w:szCs w:val="16"/>
      </w:rPr>
      <w:t xml:space="preserve"> (celkem </w:t>
    </w:r>
    <w:r w:rsidRPr="00E5419D">
      <w:rPr>
        <w:sz w:val="16"/>
        <w:szCs w:val="16"/>
      </w:rPr>
      <w:fldChar w:fldCharType="begin"/>
    </w:r>
    <w:r w:rsidRPr="00E5419D">
      <w:rPr>
        <w:sz w:val="16"/>
        <w:szCs w:val="16"/>
      </w:rPr>
      <w:instrText xml:space="preserve"> NUMPAGES </w:instrText>
    </w:r>
    <w:r w:rsidRPr="00E5419D">
      <w:rPr>
        <w:sz w:val="16"/>
        <w:szCs w:val="16"/>
      </w:rPr>
      <w:fldChar w:fldCharType="separate"/>
    </w:r>
    <w:r w:rsidR="00107213">
      <w:rPr>
        <w:noProof/>
        <w:sz w:val="16"/>
        <w:szCs w:val="16"/>
      </w:rPr>
      <w:t>7</w:t>
    </w:r>
    <w:r w:rsidRPr="00E5419D">
      <w:rPr>
        <w:sz w:val="16"/>
        <w:szCs w:val="16"/>
      </w:rPr>
      <w:fldChar w:fldCharType="end"/>
    </w:r>
    <w:r w:rsidRPr="00E5419D">
      <w:rPr>
        <w:sz w:val="16"/>
        <w:szCs w:val="16"/>
      </w:rPr>
      <w:t>)</w:t>
    </w:r>
  </w:p>
  <w:p w:rsidR="00206143" w:rsidRDefault="0020614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06143" w:rsidP="001C0221" w:rsidRDefault="00206143">
      <w:r>
        <w:separator/>
      </w:r>
    </w:p>
  </w:footnote>
  <w:footnote w:type="continuationSeparator" w:id="0">
    <w:p w:rsidR="00206143" w:rsidP="001C0221" w:rsidRDefault="00206143">
      <w:r>
        <w:continuationSeparator/>
      </w:r>
    </w:p>
  </w:footnote>
  <w:footnote w:id="1">
    <w:p w:rsidR="00206143" w:rsidP="008C1B22" w:rsidRDefault="00206143">
      <w:pPr>
        <w:pStyle w:val="Textpoznpodarou"/>
      </w:pPr>
      <w:r>
        <w:rPr>
          <w:rStyle w:val="Znakapoznpodarou"/>
        </w:rPr>
        <w:footnoteRef/>
      </w:r>
      <w:r>
        <w:t xml:space="preserve"> dále projekt </w:t>
      </w:r>
      <w:r>
        <w:rPr>
          <w:rFonts w:cs="Arial"/>
        </w:rPr>
        <w:t>Rodičovství a práce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06143" w:rsidRDefault="00206143">
    <w:pPr>
      <w:pStyle w:val="Zhlav"/>
    </w:pPr>
    <w:r>
      <w:rPr>
        <w:noProof/>
      </w:rPr>
      <w:drawing>
        <wp:inline distT="0" distB="0" distL="0" distR="0">
          <wp:extent cx="5733415" cy="543560"/>
          <wp:effectExtent l="0" t="0" r="635" b="8890"/>
          <wp:docPr id="1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220811"/>
    <w:multiLevelType w:val="hybridMultilevel"/>
    <w:tmpl w:val="60D661A2"/>
    <w:lvl w:ilvl="0" w:tplc="6CDCB8F4">
      <w:start w:val="1"/>
      <w:numFmt w:val="decimal"/>
      <w:lvlText w:val="II. 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B42733"/>
    <w:multiLevelType w:val="hybridMultilevel"/>
    <w:tmpl w:val="69183E9E"/>
    <w:lvl w:ilvl="0" w:tplc="AE601C0C">
      <w:start w:val="1"/>
      <w:numFmt w:val="decimal"/>
      <w:lvlText w:val="VI. 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73E67"/>
    <w:multiLevelType w:val="hybridMultilevel"/>
    <w:tmpl w:val="61821E88"/>
    <w:lvl w:ilvl="0" w:tplc="17C64F6A">
      <w:start w:val="1"/>
      <w:numFmt w:val="decimal"/>
      <w:lvlText w:val="VII. 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68742E"/>
    <w:multiLevelType w:val="hybridMultilevel"/>
    <w:tmpl w:val="A0963708"/>
    <w:lvl w:ilvl="0" w:tplc="04050017">
      <w:start w:val="1"/>
      <w:numFmt w:val="lowerLetter"/>
      <w:lvlText w:val="%1)"/>
      <w:lvlJc w:val="left"/>
      <w:pPr>
        <w:ind w:left="1785" w:hanging="360"/>
      </w:pPr>
    </w:lvl>
    <w:lvl w:ilvl="1" w:tplc="04050019" w:tentative="true">
      <w:start w:val="1"/>
      <w:numFmt w:val="lowerLetter"/>
      <w:lvlText w:val="%2."/>
      <w:lvlJc w:val="left"/>
      <w:pPr>
        <w:ind w:left="2505" w:hanging="360"/>
      </w:pPr>
    </w:lvl>
    <w:lvl w:ilvl="2" w:tplc="0405001B" w:tentative="true">
      <w:start w:val="1"/>
      <w:numFmt w:val="lowerRoman"/>
      <w:lvlText w:val="%3."/>
      <w:lvlJc w:val="right"/>
      <w:pPr>
        <w:ind w:left="3225" w:hanging="180"/>
      </w:pPr>
    </w:lvl>
    <w:lvl w:ilvl="3" w:tplc="0405000F" w:tentative="true">
      <w:start w:val="1"/>
      <w:numFmt w:val="decimal"/>
      <w:lvlText w:val="%4."/>
      <w:lvlJc w:val="left"/>
      <w:pPr>
        <w:ind w:left="3945" w:hanging="360"/>
      </w:pPr>
    </w:lvl>
    <w:lvl w:ilvl="4" w:tplc="04050019" w:tentative="true">
      <w:start w:val="1"/>
      <w:numFmt w:val="lowerLetter"/>
      <w:lvlText w:val="%5."/>
      <w:lvlJc w:val="left"/>
      <w:pPr>
        <w:ind w:left="4665" w:hanging="360"/>
      </w:pPr>
    </w:lvl>
    <w:lvl w:ilvl="5" w:tplc="0405001B" w:tentative="true">
      <w:start w:val="1"/>
      <w:numFmt w:val="lowerRoman"/>
      <w:lvlText w:val="%6."/>
      <w:lvlJc w:val="right"/>
      <w:pPr>
        <w:ind w:left="5385" w:hanging="180"/>
      </w:pPr>
    </w:lvl>
    <w:lvl w:ilvl="6" w:tplc="0405000F" w:tentative="true">
      <w:start w:val="1"/>
      <w:numFmt w:val="decimal"/>
      <w:lvlText w:val="%7."/>
      <w:lvlJc w:val="left"/>
      <w:pPr>
        <w:ind w:left="6105" w:hanging="360"/>
      </w:pPr>
    </w:lvl>
    <w:lvl w:ilvl="7" w:tplc="04050019" w:tentative="true">
      <w:start w:val="1"/>
      <w:numFmt w:val="lowerLetter"/>
      <w:lvlText w:val="%8."/>
      <w:lvlJc w:val="left"/>
      <w:pPr>
        <w:ind w:left="6825" w:hanging="360"/>
      </w:pPr>
    </w:lvl>
    <w:lvl w:ilvl="8" w:tplc="0405001B" w:tentative="true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3D96642"/>
    <w:multiLevelType w:val="hybridMultilevel"/>
    <w:tmpl w:val="C8CA7844"/>
    <w:lvl w:ilvl="0" w:tplc="F55208E2">
      <w:start w:val="1"/>
      <w:numFmt w:val="decimal"/>
      <w:lvlText w:val="IV. %1."/>
      <w:lvlJc w:val="left"/>
      <w:pPr>
        <w:ind w:left="107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AC33BE"/>
    <w:multiLevelType w:val="hybridMultilevel"/>
    <w:tmpl w:val="96607CFA"/>
    <w:lvl w:ilvl="0" w:tplc="0DEEBE6E">
      <w:start w:val="1"/>
      <w:numFmt w:val="upperRoman"/>
      <w:pStyle w:val="Nadpis1"/>
      <w:lvlText w:val="%1."/>
      <w:lvlJc w:val="left"/>
      <w:pPr>
        <w:ind w:left="5257" w:hanging="720"/>
      </w:pPr>
      <w:rPr>
        <w:rFonts w:hint="default" w:cs="Times New Roman"/>
        <w:strike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295E39"/>
    <w:multiLevelType w:val="hybridMultilevel"/>
    <w:tmpl w:val="A7922F24"/>
    <w:lvl w:ilvl="0" w:tplc="8C3E897A">
      <w:start w:val="1"/>
      <w:numFmt w:val="decimal"/>
      <w:lvlText w:val="V. 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725BD"/>
    <w:multiLevelType w:val="multilevel"/>
    <w:tmpl w:val="BC1ADB96"/>
    <w:styleLink w:val="StylSodrkami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eastAsia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83518D4"/>
    <w:multiLevelType w:val="hybridMultilevel"/>
    <w:tmpl w:val="6868C7CE"/>
    <w:lvl w:ilvl="0" w:tplc="54F25252">
      <w:start w:val="1"/>
      <w:numFmt w:val="decimal"/>
      <w:lvlText w:val="IX. %1."/>
      <w:lvlJc w:val="left"/>
      <w:pPr>
        <w:tabs>
          <w:tab w:val="num" w:pos="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false"/>
        <w:i w:val="false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hAnsi="Arial" w:eastAsia="Calibri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4831E16"/>
    <w:multiLevelType w:val="hybridMultilevel"/>
    <w:tmpl w:val="E8522D46"/>
    <w:lvl w:ilvl="0" w:tplc="1246580A">
      <w:start w:val="1"/>
      <w:numFmt w:val="decimal"/>
      <w:lvlText w:val="III. 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F1BE2"/>
    <w:multiLevelType w:val="hybridMultilevel"/>
    <w:tmpl w:val="C12EB68A"/>
    <w:lvl w:ilvl="0" w:tplc="EA265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IdMacAtCleanup w:val="1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0"/>
    <w:rsid w:val="00001C8A"/>
    <w:rsid w:val="0000570E"/>
    <w:rsid w:val="00005917"/>
    <w:rsid w:val="00007A01"/>
    <w:rsid w:val="00026E34"/>
    <w:rsid w:val="00032908"/>
    <w:rsid w:val="00034EED"/>
    <w:rsid w:val="00044011"/>
    <w:rsid w:val="000539B6"/>
    <w:rsid w:val="000548F2"/>
    <w:rsid w:val="00093B55"/>
    <w:rsid w:val="000A2C20"/>
    <w:rsid w:val="000A540A"/>
    <w:rsid w:val="000B4BE5"/>
    <w:rsid w:val="000E4A14"/>
    <w:rsid w:val="00103044"/>
    <w:rsid w:val="001058FF"/>
    <w:rsid w:val="00107213"/>
    <w:rsid w:val="00123117"/>
    <w:rsid w:val="001247DD"/>
    <w:rsid w:val="00124E77"/>
    <w:rsid w:val="00131495"/>
    <w:rsid w:val="0015182A"/>
    <w:rsid w:val="0017399E"/>
    <w:rsid w:val="00191A27"/>
    <w:rsid w:val="00195D79"/>
    <w:rsid w:val="001C0221"/>
    <w:rsid w:val="001E3377"/>
    <w:rsid w:val="001F03B4"/>
    <w:rsid w:val="002034AC"/>
    <w:rsid w:val="00206143"/>
    <w:rsid w:val="00206BA4"/>
    <w:rsid w:val="00214161"/>
    <w:rsid w:val="0021776F"/>
    <w:rsid w:val="00222B90"/>
    <w:rsid w:val="00244A38"/>
    <w:rsid w:val="00253D94"/>
    <w:rsid w:val="00267DC3"/>
    <w:rsid w:val="002930C7"/>
    <w:rsid w:val="0029569D"/>
    <w:rsid w:val="002A158C"/>
    <w:rsid w:val="002A4FC0"/>
    <w:rsid w:val="002A7F02"/>
    <w:rsid w:val="002C729F"/>
    <w:rsid w:val="002D0C84"/>
    <w:rsid w:val="002D1EF0"/>
    <w:rsid w:val="002F3AD9"/>
    <w:rsid w:val="002F60F6"/>
    <w:rsid w:val="00345674"/>
    <w:rsid w:val="003546C0"/>
    <w:rsid w:val="003616EA"/>
    <w:rsid w:val="00380C8E"/>
    <w:rsid w:val="003862F4"/>
    <w:rsid w:val="00387E2B"/>
    <w:rsid w:val="00391555"/>
    <w:rsid w:val="003A01C5"/>
    <w:rsid w:val="003A3F50"/>
    <w:rsid w:val="003A70A2"/>
    <w:rsid w:val="003B17AB"/>
    <w:rsid w:val="003C6B46"/>
    <w:rsid w:val="003E6FC8"/>
    <w:rsid w:val="00404222"/>
    <w:rsid w:val="004A4DEA"/>
    <w:rsid w:val="004B0C07"/>
    <w:rsid w:val="004C2A5F"/>
    <w:rsid w:val="004F7A87"/>
    <w:rsid w:val="0050415B"/>
    <w:rsid w:val="005103E8"/>
    <w:rsid w:val="00515709"/>
    <w:rsid w:val="00530D86"/>
    <w:rsid w:val="00552B84"/>
    <w:rsid w:val="00567E8C"/>
    <w:rsid w:val="005B53B9"/>
    <w:rsid w:val="005C0566"/>
    <w:rsid w:val="005F2F3E"/>
    <w:rsid w:val="00635D91"/>
    <w:rsid w:val="00661AAE"/>
    <w:rsid w:val="00662748"/>
    <w:rsid w:val="006629CB"/>
    <w:rsid w:val="006874C8"/>
    <w:rsid w:val="006918CC"/>
    <w:rsid w:val="006A1FCB"/>
    <w:rsid w:val="006B02D1"/>
    <w:rsid w:val="006B4650"/>
    <w:rsid w:val="006C2263"/>
    <w:rsid w:val="006D6E6F"/>
    <w:rsid w:val="006D76A8"/>
    <w:rsid w:val="006F67CD"/>
    <w:rsid w:val="00706847"/>
    <w:rsid w:val="0072143A"/>
    <w:rsid w:val="0072205B"/>
    <w:rsid w:val="00722825"/>
    <w:rsid w:val="00725C0D"/>
    <w:rsid w:val="00746914"/>
    <w:rsid w:val="00760499"/>
    <w:rsid w:val="00771304"/>
    <w:rsid w:val="007738EC"/>
    <w:rsid w:val="00774171"/>
    <w:rsid w:val="00790E4E"/>
    <w:rsid w:val="007910D8"/>
    <w:rsid w:val="00791461"/>
    <w:rsid w:val="007A3D55"/>
    <w:rsid w:val="007B7E0E"/>
    <w:rsid w:val="007C340F"/>
    <w:rsid w:val="007C40E1"/>
    <w:rsid w:val="007C5448"/>
    <w:rsid w:val="007F1B00"/>
    <w:rsid w:val="007F3FDF"/>
    <w:rsid w:val="007F44AF"/>
    <w:rsid w:val="007F595E"/>
    <w:rsid w:val="008245EB"/>
    <w:rsid w:val="008401B9"/>
    <w:rsid w:val="00885610"/>
    <w:rsid w:val="008856DD"/>
    <w:rsid w:val="00887CE2"/>
    <w:rsid w:val="008A26CC"/>
    <w:rsid w:val="008C1B22"/>
    <w:rsid w:val="008C2278"/>
    <w:rsid w:val="008F4A6E"/>
    <w:rsid w:val="00912D86"/>
    <w:rsid w:val="0093104E"/>
    <w:rsid w:val="00941132"/>
    <w:rsid w:val="00962184"/>
    <w:rsid w:val="0096274B"/>
    <w:rsid w:val="00963A31"/>
    <w:rsid w:val="00971F18"/>
    <w:rsid w:val="009A05B9"/>
    <w:rsid w:val="009B41D9"/>
    <w:rsid w:val="009C094B"/>
    <w:rsid w:val="009C2D51"/>
    <w:rsid w:val="009D1747"/>
    <w:rsid w:val="009E4F8F"/>
    <w:rsid w:val="009E7AEE"/>
    <w:rsid w:val="009E7BC4"/>
    <w:rsid w:val="009F6BBC"/>
    <w:rsid w:val="00A00E96"/>
    <w:rsid w:val="00A13263"/>
    <w:rsid w:val="00A17A95"/>
    <w:rsid w:val="00A21C04"/>
    <w:rsid w:val="00A33B3D"/>
    <w:rsid w:val="00A559C4"/>
    <w:rsid w:val="00A651E7"/>
    <w:rsid w:val="00A858D8"/>
    <w:rsid w:val="00A85BF9"/>
    <w:rsid w:val="00A87411"/>
    <w:rsid w:val="00AA5501"/>
    <w:rsid w:val="00AB498F"/>
    <w:rsid w:val="00AB4F05"/>
    <w:rsid w:val="00AD2857"/>
    <w:rsid w:val="00AE5F13"/>
    <w:rsid w:val="00AE6FD2"/>
    <w:rsid w:val="00B1069B"/>
    <w:rsid w:val="00B24437"/>
    <w:rsid w:val="00B31B9F"/>
    <w:rsid w:val="00B321B4"/>
    <w:rsid w:val="00B32857"/>
    <w:rsid w:val="00B37C2D"/>
    <w:rsid w:val="00B40A83"/>
    <w:rsid w:val="00B40B5E"/>
    <w:rsid w:val="00B42A36"/>
    <w:rsid w:val="00B46288"/>
    <w:rsid w:val="00B462E1"/>
    <w:rsid w:val="00B5260A"/>
    <w:rsid w:val="00B66186"/>
    <w:rsid w:val="00B72DEB"/>
    <w:rsid w:val="00B848A5"/>
    <w:rsid w:val="00BA6D7A"/>
    <w:rsid w:val="00BB426A"/>
    <w:rsid w:val="00BC59D0"/>
    <w:rsid w:val="00C06099"/>
    <w:rsid w:val="00C22E1C"/>
    <w:rsid w:val="00C238B7"/>
    <w:rsid w:val="00C27AC3"/>
    <w:rsid w:val="00C33FD0"/>
    <w:rsid w:val="00C37401"/>
    <w:rsid w:val="00C37E7C"/>
    <w:rsid w:val="00C5022E"/>
    <w:rsid w:val="00C6011A"/>
    <w:rsid w:val="00C742A9"/>
    <w:rsid w:val="00C85B58"/>
    <w:rsid w:val="00C930EF"/>
    <w:rsid w:val="00CB5F13"/>
    <w:rsid w:val="00CE0DB2"/>
    <w:rsid w:val="00D06C5C"/>
    <w:rsid w:val="00D13AF5"/>
    <w:rsid w:val="00D2406D"/>
    <w:rsid w:val="00D30835"/>
    <w:rsid w:val="00D40405"/>
    <w:rsid w:val="00D6261F"/>
    <w:rsid w:val="00D831F7"/>
    <w:rsid w:val="00D85F44"/>
    <w:rsid w:val="00DA113E"/>
    <w:rsid w:val="00DB0E8C"/>
    <w:rsid w:val="00DB1196"/>
    <w:rsid w:val="00DB6C47"/>
    <w:rsid w:val="00DC13C3"/>
    <w:rsid w:val="00DC28A6"/>
    <w:rsid w:val="00DC60DF"/>
    <w:rsid w:val="00DE58C6"/>
    <w:rsid w:val="00DF2383"/>
    <w:rsid w:val="00DF249B"/>
    <w:rsid w:val="00DF27D1"/>
    <w:rsid w:val="00E01855"/>
    <w:rsid w:val="00E11A29"/>
    <w:rsid w:val="00E212C7"/>
    <w:rsid w:val="00E23B35"/>
    <w:rsid w:val="00E44659"/>
    <w:rsid w:val="00E47751"/>
    <w:rsid w:val="00E5419D"/>
    <w:rsid w:val="00E82024"/>
    <w:rsid w:val="00E83331"/>
    <w:rsid w:val="00E847CC"/>
    <w:rsid w:val="00E84AC2"/>
    <w:rsid w:val="00EC4A00"/>
    <w:rsid w:val="00ED7B81"/>
    <w:rsid w:val="00EE27FC"/>
    <w:rsid w:val="00F10A33"/>
    <w:rsid w:val="00F3303A"/>
    <w:rsid w:val="00F40971"/>
    <w:rsid w:val="00F61662"/>
    <w:rsid w:val="00F71430"/>
    <w:rsid w:val="00F737BF"/>
    <w:rsid w:val="00F8313C"/>
    <w:rsid w:val="00F947A0"/>
    <w:rsid w:val="00FA0DEB"/>
    <w:rsid w:val="00FB3DA1"/>
    <w:rsid w:val="00FC385A"/>
    <w:rsid w:val="00FD7161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spidmax="3072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uiPriority="0" w:semiHidden="false" w:unhideWhenUsed="false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A4DEA"/>
    <w:pPr>
      <w:spacing w:before="60" w:after="60"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53D94"/>
    <w:pPr>
      <w:numPr>
        <w:numId w:val="1"/>
      </w:numPr>
      <w:tabs>
        <w:tab w:val="left" w:pos="709"/>
      </w:tabs>
      <w:spacing w:after="24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B462E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253D94"/>
    <w:rPr>
      <w:rFonts w:ascii="Arial" w:hAnsi="Arial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B462E1"/>
    <w:rPr>
      <w:rFonts w:ascii="Cambria" w:hAnsi="Cambria" w:cs="Times New Roman"/>
      <w:b/>
      <w:bCs/>
      <w:color w:val="4F81BD"/>
      <w:sz w:val="26"/>
      <w:szCs w:val="26"/>
    </w:rPr>
  </w:style>
  <w:style w:type="paragraph" w:styleId="UP" w:customStyle="true">
    <w:name w:val="UP"/>
    <w:basedOn w:val="Normln"/>
    <w:autoRedefine/>
    <w:uiPriority w:val="99"/>
    <w:rsid w:val="00A33B3D"/>
    <w:rPr>
      <w:i/>
      <w:sz w:val="16"/>
      <w:szCs w:val="16"/>
    </w:rPr>
  </w:style>
  <w:style w:type="paragraph" w:styleId="Zhlav">
    <w:name w:val="header"/>
    <w:basedOn w:val="Normln"/>
    <w:link w:val="ZhlavChar"/>
    <w:uiPriority w:val="99"/>
    <w:rsid w:val="001C022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1C0221"/>
    <w:rPr>
      <w:rFonts w:ascii="Arial" w:hAnsi="Arial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1C022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1C0221"/>
    <w:rPr>
      <w:rFonts w:ascii="Arial" w:hAnsi="Arial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1C022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1C02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53D9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53D94"/>
    <w:pPr>
      <w:spacing w:before="120" w:after="120"/>
    </w:pPr>
    <w:rPr>
      <w:sz w:val="16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253D94"/>
    <w:rPr>
      <w:rFonts w:ascii="Arial" w:hAnsi="Arial" w:cs="Times New Roman"/>
      <w:sz w:val="16"/>
    </w:rPr>
  </w:style>
  <w:style w:type="character" w:styleId="Znakapoznpodarou">
    <w:name w:val="footnote reference"/>
    <w:basedOn w:val="Standardnpsmoodstavce"/>
    <w:uiPriority w:val="99"/>
    <w:rsid w:val="00253D94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E83331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1" w:customStyle="true">
    <w:name w:val="Světlé stínování – zvýraznění 11"/>
    <w:uiPriority w:val="99"/>
    <w:rsid w:val="00E83331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ednoduchtabulka1">
    <w:name w:val="Table Simple 1"/>
    <w:basedOn w:val="Normlntabulka"/>
    <w:uiPriority w:val="99"/>
    <w:rsid w:val="00E83331"/>
    <w:pPr>
      <w:spacing w:before="60" w:after="60"/>
      <w:jc w:val="both"/>
    </w:pPr>
    <w:rPr>
      <w:sz w:val="20"/>
      <w:szCs w:val="20"/>
    </w:rPr>
    <w:tblPr>
      <w:tblInd w:w="0" w:type="dxa"/>
      <w:tblBorders>
        <w:top w:val="single" w:color="17365D" w:sz="12" w:space="0"/>
        <w:bottom w:val="single" w:color="17365D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</w:rPr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paragraph" w:styleId="Normln11" w:customStyle="true">
    <w:name w:val="Normální 11"/>
    <w:basedOn w:val="Normln"/>
    <w:uiPriority w:val="99"/>
    <w:rsid w:val="009F6BBC"/>
    <w:pPr>
      <w:jc w:val="center"/>
    </w:pPr>
    <w:rPr>
      <w:szCs w:val="24"/>
    </w:rPr>
  </w:style>
  <w:style w:type="paragraph" w:styleId="Nzevprojektu" w:customStyle="true">
    <w:name w:val="Název projektu"/>
    <w:basedOn w:val="Normln"/>
    <w:uiPriority w:val="99"/>
    <w:rsid w:val="009F6BBC"/>
    <w:pPr>
      <w:jc w:val="center"/>
    </w:pPr>
    <w:rPr>
      <w:b/>
      <w:color w:val="000080"/>
      <w:sz w:val="36"/>
      <w:szCs w:val="24"/>
    </w:rPr>
  </w:style>
  <w:style w:type="character" w:styleId="Odkaznakoment">
    <w:name w:val="annotation reference"/>
    <w:basedOn w:val="Standardnpsmoodstavce"/>
    <w:uiPriority w:val="99"/>
    <w:semiHidden/>
    <w:rsid w:val="000440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4401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locked/>
    <w:rsid w:val="002D0C84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401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2D0C84"/>
    <w:rPr>
      <w:rFonts w:ascii="Arial" w:hAnsi="Arial" w:cs="Times New Roman"/>
      <w:b/>
      <w:bCs/>
      <w:sz w:val="20"/>
      <w:szCs w:val="20"/>
    </w:rPr>
  </w:style>
  <w:style w:type="numbering" w:styleId="StylSodrkami" w:customStyle="true">
    <w:name w:val="Styl S odrážkami"/>
    <w:rsid w:val="00D93578"/>
    <w:pPr>
      <w:numPr>
        <w:numId w:val="5"/>
      </w:numPr>
    </w:pPr>
  </w:style>
  <w:style w:type="paragraph" w:styleId="ODSTAVEC" w:customStyle="true">
    <w:name w:val="ODSTAVEC"/>
    <w:basedOn w:val="Bezmezer"/>
    <w:rsid w:val="007C40E1"/>
    <w:pPr>
      <w:numPr>
        <w:ilvl w:val="1"/>
        <w:numId w:val="10"/>
      </w:numPr>
      <w:tabs>
        <w:tab w:val="clear" w:pos="360"/>
      </w:tabs>
      <w:spacing w:before="120"/>
      <w:ind w:left="1440"/>
    </w:pPr>
    <w:rPr>
      <w:rFonts w:cs="Arial"/>
      <w:sz w:val="18"/>
      <w:szCs w:val="18"/>
    </w:rPr>
  </w:style>
  <w:style w:type="paragraph" w:styleId="NADPIS" w:customStyle="true">
    <w:name w:val="NADPIS"/>
    <w:basedOn w:val="Bezmezer"/>
    <w:rsid w:val="007C40E1"/>
    <w:pPr>
      <w:numPr>
        <w:numId w:val="10"/>
      </w:numPr>
      <w:tabs>
        <w:tab w:val="clear" w:pos="360"/>
      </w:tabs>
      <w:spacing w:before="360"/>
      <w:ind w:left="720"/>
      <w:jc w:val="center"/>
    </w:pPr>
    <w:rPr>
      <w:rFonts w:eastAsia="Calibri" w:cs="Arial"/>
      <w:b/>
      <w:lang w:eastAsia="en-US"/>
    </w:rPr>
  </w:style>
  <w:style w:type="paragraph" w:styleId="Bezmezer">
    <w:name w:val="No Spacing"/>
    <w:link w:val="BezmezerChar"/>
    <w:qFormat/>
    <w:rsid w:val="007C40E1"/>
    <w:pPr>
      <w:jc w:val="both"/>
    </w:pPr>
    <w:rPr>
      <w:rFonts w:ascii="Arial" w:hAnsi="Arial"/>
    </w:rPr>
  </w:style>
  <w:style w:type="character" w:styleId="BezmezerChar" w:customStyle="true">
    <w:name w:val="Bez mezer Char"/>
    <w:basedOn w:val="Standardnpsmoodstavce"/>
    <w:link w:val="Bezmezer"/>
    <w:rsid w:val="00D30835"/>
    <w:rPr>
      <w:rFonts w:ascii="Arial" w:hAnsi="Arial"/>
    </w:rPr>
  </w:style>
  <w:style w:type="paragraph" w:styleId="Revize">
    <w:name w:val="Revision"/>
    <w:hidden/>
    <w:uiPriority w:val="99"/>
    <w:semiHidden/>
    <w:rsid w:val="00D30835"/>
    <w:rPr>
      <w:rFonts w:ascii="Arial" w:hAnsi="Arial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nhideWhenUsed="0"/>
    <w:lsdException w:locked="1" w:name="heading 2" w:qFormat="1" w:semiHidden="0" w:uiPriority="0" w:unhideWhenUsed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annotation text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A4DEA"/>
    <w:pPr>
      <w:spacing w:after="60" w:before="60"/>
      <w:jc w:val="both"/>
    </w:pPr>
    <w:rPr>
      <w:rFonts w:ascii="Arial" w:hAnsi="Arial"/>
    </w:rPr>
  </w:style>
  <w:style w:styleId="Nadpis1" w:type="paragraph">
    <w:name w:val="heading 1"/>
    <w:basedOn w:val="Odstavecseseznamem"/>
    <w:next w:val="Normln"/>
    <w:link w:val="Nadpis1Char"/>
    <w:uiPriority w:val="99"/>
    <w:qFormat/>
    <w:rsid w:val="00253D94"/>
    <w:pPr>
      <w:numPr>
        <w:numId w:val="1"/>
      </w:numPr>
      <w:tabs>
        <w:tab w:pos="709" w:val="left"/>
      </w:tabs>
      <w:spacing w:after="240"/>
      <w:jc w:val="center"/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B462E1"/>
    <w:pPr>
      <w:keepNext/>
      <w:keepLines/>
      <w:spacing w:after="0"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253D94"/>
    <w:rPr>
      <w:rFonts w:ascii="Arial" w:hAnsi="Arial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B462E1"/>
    <w:rPr>
      <w:rFonts w:ascii="Cambria" w:cs="Times New Roman" w:hAnsi="Cambria"/>
      <w:b/>
      <w:bCs/>
      <w:color w:val="4F81BD"/>
      <w:sz w:val="26"/>
      <w:szCs w:val="26"/>
    </w:rPr>
  </w:style>
  <w:style w:customStyle="1" w:styleId="UP" w:type="paragraph">
    <w:name w:val="UP"/>
    <w:basedOn w:val="Normln"/>
    <w:autoRedefine/>
    <w:uiPriority w:val="99"/>
    <w:rsid w:val="00A33B3D"/>
    <w:rPr>
      <w:i/>
      <w:sz w:val="16"/>
      <w:szCs w:val="16"/>
    </w:rPr>
  </w:style>
  <w:style w:styleId="Zhlav" w:type="paragraph">
    <w:name w:val="header"/>
    <w:basedOn w:val="Normln"/>
    <w:link w:val="ZhlavChar"/>
    <w:uiPriority w:val="99"/>
    <w:rsid w:val="001C022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1C0221"/>
    <w:rPr>
      <w:rFonts w:ascii="Arial" w:cs="Times New Roman" w:hAnsi="Arial"/>
      <w:sz w:val="22"/>
      <w:szCs w:val="22"/>
    </w:rPr>
  </w:style>
  <w:style w:styleId="Zpat" w:type="paragraph">
    <w:name w:val="footer"/>
    <w:basedOn w:val="Normln"/>
    <w:link w:val="ZpatChar"/>
    <w:uiPriority w:val="99"/>
    <w:rsid w:val="001C022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1C0221"/>
    <w:rPr>
      <w:rFonts w:ascii="Arial" w:cs="Times New Roman" w:hAnsi="Arial"/>
      <w:sz w:val="22"/>
      <w:szCs w:val="22"/>
    </w:rPr>
  </w:style>
  <w:style w:styleId="Textbubliny" w:type="paragraph">
    <w:name w:val="Balloon Text"/>
    <w:basedOn w:val="Normln"/>
    <w:link w:val="TextbublinyChar"/>
    <w:uiPriority w:val="99"/>
    <w:rsid w:val="001C022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1C0221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99"/>
    <w:qFormat/>
    <w:rsid w:val="00253D94"/>
    <w:pPr>
      <w:ind w:left="720"/>
      <w:contextualSpacing/>
    </w:pPr>
  </w:style>
  <w:style w:styleId="Textpoznpodarou" w:type="paragraph">
    <w:name w:val="footnote text"/>
    <w:basedOn w:val="Normln"/>
    <w:link w:val="TextpoznpodarouChar"/>
    <w:uiPriority w:val="99"/>
    <w:rsid w:val="00253D94"/>
    <w:pPr>
      <w:spacing w:after="120" w:before="120"/>
    </w:pPr>
    <w:rPr>
      <w:sz w:val="16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locked/>
    <w:rsid w:val="00253D94"/>
    <w:rPr>
      <w:rFonts w:ascii="Arial" w:cs="Times New Roman" w:hAnsi="Arial"/>
      <w:sz w:val="16"/>
    </w:rPr>
  </w:style>
  <w:style w:styleId="Znakapoznpodarou" w:type="character">
    <w:name w:val="footnote reference"/>
    <w:basedOn w:val="Standardnpsmoodstavce"/>
    <w:uiPriority w:val="99"/>
    <w:rsid w:val="00253D94"/>
    <w:rPr>
      <w:rFonts w:cs="Times New Roman"/>
      <w:vertAlign w:val="superscript"/>
    </w:rPr>
  </w:style>
  <w:style w:styleId="Mkatabulky" w:type="table">
    <w:name w:val="Table Grid"/>
    <w:basedOn w:val="Normlntabulka"/>
    <w:uiPriority w:val="99"/>
    <w:rsid w:val="00E83331"/>
    <w:rPr>
      <w:sz w:val="20"/>
      <w:szCs w:val="20"/>
    </w:rPr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Svtlstnovnzvraznn11" w:type="table">
    <w:name w:val="Světlé stínování – zvýraznění 11"/>
    <w:uiPriority w:val="99"/>
    <w:rsid w:val="00E83331"/>
    <w:rPr>
      <w:color w:val="365F91"/>
      <w:sz w:val="20"/>
      <w:szCs w:val="20"/>
    </w:rPr>
    <w:tblPr>
      <w:tblStyleRowBandSize w:val="1"/>
      <w:tblStyleColBandSize w:val="1"/>
      <w:tblInd w:type="dxa" w:w="0"/>
      <w:tblBorders>
        <w:top w:color="4F81BD" w:space="0" w:sz="8" w:val="single"/>
        <w:bottom w:color="4F81BD" w:space="0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Jednoduchtabulka1" w:type="table">
    <w:name w:val="Table Simple 1"/>
    <w:basedOn w:val="Normlntabulka"/>
    <w:uiPriority w:val="99"/>
    <w:rsid w:val="00E83331"/>
    <w:pPr>
      <w:spacing w:after="60" w:before="60"/>
      <w:jc w:val="both"/>
    </w:pPr>
    <w:rPr>
      <w:sz w:val="20"/>
      <w:szCs w:val="20"/>
    </w:rPr>
    <w:tblPr>
      <w:tblInd w:type="dxa" w:w="0"/>
      <w:tblBorders>
        <w:top w:color="17365D" w:space="0" w:sz="12" w:val="single"/>
        <w:bottom w:color="17365D" w:space="0" w:sz="1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cs="Times New Roman"/>
      </w:rPr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rFonts w:cs="Times New Roman"/>
      </w:rPr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customStyle="1" w:styleId="Normln11" w:type="paragraph">
    <w:name w:val="Normální 11"/>
    <w:basedOn w:val="Normln"/>
    <w:uiPriority w:val="99"/>
    <w:rsid w:val="009F6BBC"/>
    <w:pPr>
      <w:jc w:val="center"/>
    </w:pPr>
    <w:rPr>
      <w:szCs w:val="24"/>
    </w:rPr>
  </w:style>
  <w:style w:customStyle="1" w:styleId="Nzevprojektu" w:type="paragraph">
    <w:name w:val="Název projektu"/>
    <w:basedOn w:val="Normln"/>
    <w:uiPriority w:val="99"/>
    <w:rsid w:val="009F6BBC"/>
    <w:pPr>
      <w:jc w:val="center"/>
    </w:pPr>
    <w:rPr>
      <w:b/>
      <w:color w:val="000080"/>
      <w:sz w:val="36"/>
      <w:szCs w:val="24"/>
    </w:rPr>
  </w:style>
  <w:style w:styleId="Odkaznakoment" w:type="character">
    <w:name w:val="annotation reference"/>
    <w:basedOn w:val="Standardnpsmoodstavce"/>
    <w:uiPriority w:val="99"/>
    <w:semiHidden/>
    <w:rsid w:val="00044011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semiHidden/>
    <w:rsid w:val="0004401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locked/>
    <w:rsid w:val="002D0C84"/>
    <w:rPr>
      <w:rFonts w:ascii="Arial" w:cs="Times New Roman" w:hAnsi="Arial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04401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sid w:val="002D0C84"/>
    <w:rPr>
      <w:rFonts w:ascii="Arial" w:cs="Times New Roman" w:hAnsi="Arial"/>
      <w:b/>
      <w:bCs/>
      <w:sz w:val="20"/>
      <w:szCs w:val="20"/>
    </w:rPr>
  </w:style>
  <w:style w:customStyle="1" w:styleId="StylSodrkami" w:type="numbering">
    <w:name w:val="Styl S odrážkami"/>
    <w:rsid w:val="00D93578"/>
    <w:pPr>
      <w:numPr>
        <w:numId w:val="5"/>
      </w:numPr>
    </w:pPr>
  </w:style>
  <w:style w:customStyle="1" w:styleId="ODSTAVEC" w:type="paragraph">
    <w:name w:val="ODSTAVEC"/>
    <w:basedOn w:val="Bezmezer"/>
    <w:rsid w:val="007C40E1"/>
    <w:pPr>
      <w:numPr>
        <w:ilvl w:val="1"/>
        <w:numId w:val="10"/>
      </w:numPr>
      <w:tabs>
        <w:tab w:pos="360" w:val="clear"/>
      </w:tabs>
      <w:spacing w:before="120"/>
      <w:ind w:left="1440"/>
    </w:pPr>
    <w:rPr>
      <w:rFonts w:cs="Arial"/>
      <w:sz w:val="18"/>
      <w:szCs w:val="18"/>
    </w:rPr>
  </w:style>
  <w:style w:customStyle="1" w:styleId="NADPIS" w:type="paragraph">
    <w:name w:val="NADPIS"/>
    <w:basedOn w:val="Bezmezer"/>
    <w:rsid w:val="007C40E1"/>
    <w:pPr>
      <w:numPr>
        <w:numId w:val="10"/>
      </w:numPr>
      <w:tabs>
        <w:tab w:pos="360" w:val="clear"/>
      </w:tabs>
      <w:spacing w:before="360"/>
      <w:ind w:left="720"/>
      <w:jc w:val="center"/>
    </w:pPr>
    <w:rPr>
      <w:rFonts w:cs="Arial" w:eastAsia="Calibri"/>
      <w:b/>
      <w:lang w:eastAsia="en-US"/>
    </w:rPr>
  </w:style>
  <w:style w:styleId="Bezmezer" w:type="paragraph">
    <w:name w:val="No Spacing"/>
    <w:link w:val="BezmezerChar"/>
    <w:qFormat/>
    <w:rsid w:val="007C40E1"/>
    <w:pPr>
      <w:jc w:val="both"/>
    </w:pPr>
    <w:rPr>
      <w:rFonts w:ascii="Arial" w:hAnsi="Arial"/>
    </w:rPr>
  </w:style>
  <w:style w:customStyle="1" w:styleId="BezmezerChar" w:type="character">
    <w:name w:val="Bez mezer Char"/>
    <w:basedOn w:val="Standardnpsmoodstavce"/>
    <w:link w:val="Bezmezer"/>
    <w:rsid w:val="00D30835"/>
    <w:rPr>
      <w:rFonts w:ascii="Arial" w:hAnsi="Arial"/>
    </w:rPr>
  </w:style>
  <w:style w:styleId="Revize" w:type="paragraph">
    <w:name w:val="Revision"/>
    <w:hidden/>
    <w:uiPriority w:val="99"/>
    <w:semiHidden/>
    <w:rsid w:val="00D30835"/>
    <w:rPr>
      <w:rFonts w:ascii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816352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6352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19C607B-2978-449B-8EC2-537738E2BBB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7</properties:Pages>
  <properties:Words>1793</properties:Words>
  <properties:Characters>10631</properties:Characters>
  <properties:Lines>88</properties:Lines>
  <properties:Paragraphs>24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DÍLO NA REALIZACI VEŘEJNÉ ZAKÁZKY</vt:lpstr>
    </vt:vector>
  </properties:TitlesOfParts>
  <properties:LinksUpToDate>false</properties:LinksUpToDate>
  <properties:CharactersWithSpaces>12400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2013-07-03T14:06:00Z</dcterms:created>
  <dc:creator/>
  <cp:lastModifiedBy/>
  <cp:lastPrinted>2013-05-31T09:56:00Z</cp:lastPrinted>
  <dcterms:modified xmlns:xsi="http://www.w3.org/2001/XMLSchema-instance" xsi:type="dcterms:W3CDTF">2013-09-16T07:19:00Z</dcterms:modified>
  <cp:revision>5</cp:revision>
  <dc:title>SMLOUVA O DÍLO NA REALIZACI VEŘEJNÉ ZAKÁZKY</dc:title>
</cp:coreProperties>
</file>