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74EA0" w:rsidR="00067E14" w:rsidP="00774EA0" w:rsidRDefault="00774EA0">
      <w:pPr>
        <w:jc w:val="right"/>
        <w:rPr>
          <w:rFonts w:ascii="Arial" w:hAnsi="Arial" w:cs="Arial"/>
          <w:b/>
          <w:sz w:val="20"/>
          <w:szCs w:val="20"/>
        </w:rPr>
      </w:pPr>
      <w:r w:rsidRPr="00774EA0">
        <w:rPr>
          <w:rFonts w:ascii="Arial" w:hAnsi="Arial" w:cs="Arial"/>
          <w:b/>
          <w:sz w:val="20"/>
          <w:szCs w:val="20"/>
        </w:rPr>
        <w:t xml:space="preserve">Příloha č. 8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67"/>
        <w:gridCol w:w="139"/>
        <w:gridCol w:w="569"/>
        <w:gridCol w:w="849"/>
        <w:gridCol w:w="351"/>
        <w:gridCol w:w="358"/>
        <w:gridCol w:w="1244"/>
        <w:gridCol w:w="1170"/>
        <w:gridCol w:w="992"/>
        <w:gridCol w:w="538"/>
        <w:gridCol w:w="1020"/>
        <w:gridCol w:w="780"/>
        <w:gridCol w:w="928"/>
      </w:tblGrid>
      <w:tr w:rsidRPr="00D86D71" w:rsidR="00774EA0" w:rsidTr="00067E14">
        <w:trPr>
          <w:trHeight w:val="417"/>
        </w:trPr>
        <w:tc>
          <w:tcPr>
            <w:tcW w:w="9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6E4FC1" w:rsidRDefault="00774EA0">
            <w:pPr>
              <w:pStyle w:val="Nadpis1"/>
              <w:spacing w:before="120"/>
              <w:jc w:val="center"/>
              <w:rPr>
                <w:color w:val="auto"/>
                <w:sz w:val="24"/>
                <w:u w:val="none"/>
              </w:rPr>
            </w:pPr>
            <w:r w:rsidRPr="00D86D71">
              <w:rPr>
                <w:color w:val="auto"/>
                <w:sz w:val="24"/>
                <w:u w:val="none"/>
              </w:rPr>
              <w:t>KALKULACE NÁKLAD</w:t>
            </w:r>
            <w:r w:rsidRPr="00D86D71">
              <w:rPr>
                <w:caps/>
                <w:color w:val="auto"/>
                <w:sz w:val="24"/>
                <w:u w:val="none"/>
              </w:rPr>
              <w:t>ů</w:t>
            </w:r>
            <w:r w:rsidR="00916982">
              <w:rPr>
                <w:color w:val="auto"/>
                <w:sz w:val="24"/>
                <w:u w:val="none"/>
              </w:rPr>
              <w:t xml:space="preserve"> </w:t>
            </w:r>
            <w:r w:rsidRPr="00D86D71">
              <w:rPr>
                <w:color w:val="auto"/>
                <w:sz w:val="24"/>
                <w:u w:val="none"/>
              </w:rPr>
              <w:t>REKVALIFIKACE</w:t>
            </w: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Název a sídlo rekvalifikačního zařízení: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</w:pP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Název vzdělávacího programu: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</w:pP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Délka trvání rekvalifikace:</w:t>
            </w:r>
          </w:p>
        </w:tc>
        <w:tc>
          <w:tcPr>
            <w:tcW w:w="703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</w:t>
            </w:r>
          </w:p>
        </w:tc>
      </w:tr>
      <w:tr w:rsidRPr="00D86D71" w:rsidR="00774EA0" w:rsidTr="002F46E2">
        <w:tc>
          <w:tcPr>
            <w:tcW w:w="296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Počet hodin </w:t>
            </w:r>
            <w:proofErr w:type="gramStart"/>
            <w:r w:rsidRPr="00D86D71">
              <w:rPr>
                <w:rFonts w:cs="Arial"/>
              </w:rPr>
              <w:t>rekvalifikace :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teoretická příprava:</w:t>
            </w:r>
          </w:p>
        </w:tc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15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praktická příprava: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zkoušky: </w:t>
            </w:r>
          </w:p>
        </w:tc>
        <w:tc>
          <w:tcPr>
            <w:tcW w:w="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A47A56">
        <w:trPr>
          <w:trHeight w:val="193"/>
        </w:trPr>
        <w:tc>
          <w:tcPr>
            <w:tcW w:w="9998" w:type="dxa"/>
            <w:gridSpan w:val="14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A47A56">
        <w:trPr>
          <w:trHeight w:val="7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rPr>
                <w:color w:val="auto"/>
                <w:sz w:val="18"/>
                <w:u w:val="none"/>
              </w:rPr>
            </w:pPr>
            <w:proofErr w:type="spellStart"/>
            <w:proofErr w:type="gramStart"/>
            <w:r w:rsidRPr="00D86D71">
              <w:rPr>
                <w:color w:val="auto"/>
                <w:sz w:val="18"/>
                <w:u w:val="none"/>
              </w:rPr>
              <w:t>Č.ř</w:t>
            </w:r>
            <w:proofErr w:type="spellEnd"/>
            <w:r w:rsidRPr="00D86D71">
              <w:rPr>
                <w:color w:val="auto"/>
                <w:sz w:val="18"/>
                <w:u w:val="none"/>
              </w:rPr>
              <w:t>.</w:t>
            </w:r>
            <w:proofErr w:type="gramEnd"/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Položka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Kč</w:t>
            </w: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</w:tcPr>
          <w:p w:rsidRPr="00D86D71" w:rsidR="00774EA0" w:rsidP="002F46E2" w:rsidRDefault="00774EA0">
            <w:pPr>
              <w:pStyle w:val="Nadpis1"/>
              <w:jc w:val="center"/>
              <w:rPr>
                <w:color w:val="auto"/>
                <w:sz w:val="18"/>
                <w:u w:val="none"/>
              </w:rPr>
            </w:pPr>
            <w:r w:rsidRPr="00D86D71">
              <w:rPr>
                <w:color w:val="auto"/>
                <w:sz w:val="18"/>
                <w:u w:val="none"/>
              </w:rPr>
              <w:t>Poznámka</w:t>
            </w:r>
          </w:p>
        </w:tc>
      </w:tr>
      <w:tr w:rsidRPr="00D86D71" w:rsidR="00774EA0" w:rsidTr="002F46E2">
        <w:tc>
          <w:tcPr>
            <w:tcW w:w="493" w:type="dxa"/>
            <w:tcBorders>
              <w:top w:val="doub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1.</w:t>
            </w:r>
          </w:p>
        </w:tc>
        <w:tc>
          <w:tcPr>
            <w:tcW w:w="5247" w:type="dxa"/>
            <w:gridSpan w:val="8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Přímý materiál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1a až 1c)</w:t>
            </w:r>
          </w:p>
        </w:tc>
        <w:tc>
          <w:tcPr>
            <w:tcW w:w="992" w:type="dxa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double" w:color="auto" w:sz="4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trHeight w:val="123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1a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potřebná výbava účastníků rekvalifikace (max. do 2000 Kč na jednoho účastníka)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trHeight w:val="54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1b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osobní ochranné pracovní prostředky, mycí, čistící a dezinfekční prostředky a ochranné nápoje poskytnuté účastníkům rekvalifikace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trHeight w:val="365"/>
        </w:trPr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jc w:val="center"/>
              <w:rPr>
                <w:rFonts w:cs="Arial"/>
              </w:rPr>
            </w:pPr>
            <w:r w:rsidRPr="00D86D71">
              <w:rPr>
                <w:rFonts w:cs="Arial"/>
              </w:rPr>
              <w:t>1c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rPr>
                <w:rFonts w:cs="Arial"/>
              </w:rPr>
            </w:pPr>
            <w:r w:rsidRPr="00D86D71">
              <w:rPr>
                <w:rFonts w:cs="Arial"/>
              </w:rPr>
              <w:t>použitý výukový a výcvikový materiál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0" w:after="0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2.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Přímé mzdy a odměny zaměstnanců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2a až 2d)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organizační pracovníci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pedagogičtí pracovníci - učitelé, lektoři, instruktoři, mistři, zkušební komisaři aj. (v pracovním poměru, na dohodu o pracovní činnosti)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organizační pracovníci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2d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pedagogičtí pracovníci – učitelé, lektoři, instruktoři, mistři, zkušební komisaři aj. (na dohodu o provedení práce)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1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3.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Ostatní přímé náklady celkem</w:t>
            </w:r>
            <w:r w:rsidRPr="00D86D71">
              <w:rPr>
                <w:b/>
                <w:sz w:val="16"/>
                <w:u w:val="none"/>
              </w:rPr>
              <w:t xml:space="preserve"> </w:t>
            </w:r>
            <w:r w:rsidRPr="00D86D71">
              <w:rPr>
                <w:bCs/>
                <w:sz w:val="16"/>
                <w:u w:val="none"/>
              </w:rPr>
              <w:t>(součet řádků 3a až 3i)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3a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odvod pojistného na zdravotní pojištění a na sociální zabezpečení                       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  <w:r w:rsidRPr="00D86D71">
              <w:rPr>
                <w:rFonts w:cs="Arial"/>
              </w:rPr>
              <w:t>% ze součtu řádků 2a+2b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 3b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organizační činnost vlastníka rekvalifikačního zařízení, </w:t>
            </w:r>
            <w:proofErr w:type="gramStart"/>
            <w:r w:rsidRPr="00D86D71">
              <w:rPr>
                <w:rFonts w:cs="Arial"/>
              </w:rPr>
              <w:t>jde</w:t>
            </w:r>
            <w:proofErr w:type="gramEnd"/>
            <w:r w:rsidRPr="00D86D71">
              <w:rPr>
                <w:rFonts w:cs="Arial"/>
              </w:rPr>
              <w:t xml:space="preserve"> –</w:t>
            </w:r>
            <w:proofErr w:type="spellStart"/>
            <w:proofErr w:type="gramStart"/>
            <w:r w:rsidRPr="00D86D71">
              <w:rPr>
                <w:rFonts w:cs="Arial"/>
              </w:rPr>
              <w:t>li</w:t>
            </w:r>
            <w:proofErr w:type="spellEnd"/>
            <w:proofErr w:type="gramEnd"/>
            <w:r w:rsidRPr="00D86D71">
              <w:rPr>
                <w:rFonts w:cs="Arial"/>
              </w:rPr>
              <w:t xml:space="preserve"> o fyzickou osobu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  3c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lektorská činnost vlastníka rekvalifikačního zařízení, </w:t>
            </w:r>
            <w:proofErr w:type="gramStart"/>
            <w:r w:rsidRPr="00D86D71">
              <w:rPr>
                <w:rFonts w:cs="Arial"/>
              </w:rPr>
              <w:t>jde</w:t>
            </w:r>
            <w:proofErr w:type="gramEnd"/>
            <w:r w:rsidRPr="00D86D71">
              <w:rPr>
                <w:rFonts w:cs="Arial"/>
              </w:rPr>
              <w:t xml:space="preserve"> –</w:t>
            </w:r>
            <w:proofErr w:type="spellStart"/>
            <w:proofErr w:type="gramStart"/>
            <w:r w:rsidRPr="00D86D71">
              <w:rPr>
                <w:rFonts w:cs="Arial"/>
              </w:rPr>
              <w:t>li</w:t>
            </w:r>
            <w:proofErr w:type="spellEnd"/>
            <w:proofErr w:type="gramEnd"/>
            <w:r w:rsidRPr="00D86D71">
              <w:rPr>
                <w:rFonts w:cs="Arial"/>
              </w:rPr>
              <w:t xml:space="preserve">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3d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odvod pojistného na zdravotní pojištění a sociální zabezpečení </w:t>
            </w:r>
            <w:proofErr w:type="gramStart"/>
            <w:r w:rsidRPr="00D86D71">
              <w:rPr>
                <w:rFonts w:cs="Arial"/>
              </w:rPr>
              <w:t>vlastníka  rekvalifikačního</w:t>
            </w:r>
            <w:proofErr w:type="gramEnd"/>
            <w:r w:rsidRPr="00D86D71">
              <w:rPr>
                <w:rFonts w:cs="Arial"/>
              </w:rPr>
              <w:t xml:space="preserve"> zařízení, jde –</w:t>
            </w:r>
            <w:proofErr w:type="spellStart"/>
            <w:r w:rsidRPr="00D86D71">
              <w:rPr>
                <w:rFonts w:cs="Arial"/>
              </w:rPr>
              <w:t>li</w:t>
            </w:r>
            <w:proofErr w:type="spellEnd"/>
            <w:r w:rsidRPr="00D86D71">
              <w:rPr>
                <w:rFonts w:cs="Arial"/>
              </w:rPr>
              <w:t xml:space="preserve"> o fyzickou osobu 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rPr>
          <w:cantSplit/>
        </w:trPr>
        <w:tc>
          <w:tcPr>
            <w:tcW w:w="493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dashSmallGap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spacing w:before="20"/>
              <w:rPr>
                <w:rFonts w:cs="Arial"/>
              </w:rPr>
            </w:pPr>
            <w:r w:rsidRPr="00D86D71">
              <w:rPr>
                <w:rFonts w:cs="Arial"/>
              </w:rPr>
              <w:t>% ze součtu řádků 3b+3c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3e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cestovné osob podílejících se na zabezpečení rekvalifikace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jc w:val="center"/>
              <w:rPr>
                <w:rFonts w:cs="Arial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D86D71">
                <w:rPr>
                  <w:rFonts w:cs="Arial"/>
                </w:rPr>
                <w:t>3f</w:t>
              </w:r>
            </w:smartTag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 xml:space="preserve">nájmy a půjčovné ( </w:t>
            </w:r>
            <w:proofErr w:type="spellStart"/>
            <w:proofErr w:type="gramStart"/>
            <w:r w:rsidRPr="00D86D71">
              <w:rPr>
                <w:rFonts w:cs="Arial"/>
              </w:rPr>
              <w:t>např.prostory</w:t>
            </w:r>
            <w:proofErr w:type="spellEnd"/>
            <w:proofErr w:type="gramEnd"/>
            <w:r w:rsidRPr="00D86D71">
              <w:rPr>
                <w:rFonts w:cs="Arial"/>
              </w:rPr>
              <w:t>, vyučovací technika)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jc w:val="center"/>
              <w:rPr>
                <w:rFonts w:cs="Arial"/>
              </w:rPr>
            </w:pPr>
            <w:r w:rsidRPr="00D86D71">
              <w:rPr>
                <w:rFonts w:cs="Arial"/>
              </w:rPr>
              <w:t>3g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subdodávky odborných činností (např. činnost lektorů, zkušebních komisařů)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rPr>
                <w:rFonts w:ascii="Arial" w:hAnsi="Arial" w:cs="Arial"/>
                <w:sz w:val="16"/>
              </w:rPr>
            </w:pPr>
            <w:r w:rsidRPr="00D86D71">
              <w:rPr>
                <w:rFonts w:ascii="Arial" w:hAnsi="Arial" w:cs="Arial"/>
                <w:sz w:val="16"/>
              </w:rPr>
              <w:t xml:space="preserve">  3h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pojištění odpovědnosti za škodu na zdraví účastníků rekvalifikace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  3i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tabs>
                <w:tab w:val="left" w:pos="2198"/>
              </w:tabs>
              <w:rPr>
                <w:rFonts w:cs="Arial"/>
              </w:rPr>
            </w:pPr>
            <w:r w:rsidRPr="00D86D71">
              <w:rPr>
                <w:rFonts w:cs="Arial"/>
              </w:rPr>
              <w:t>jiné ostatní přímé náklady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4.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/>
                <w:bCs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 xml:space="preserve">Režijní náklady </w:t>
            </w:r>
            <w:r w:rsidRPr="00D86D71">
              <w:rPr>
                <w:sz w:val="16"/>
                <w:u w:val="none"/>
              </w:rPr>
              <w:t>vynaložené při provádění rekvalifikace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 xml:space="preserve">  5.</w:t>
            </w:r>
          </w:p>
        </w:tc>
        <w:tc>
          <w:tcPr>
            <w:tcW w:w="5247" w:type="dxa"/>
            <w:gridSpan w:val="8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spacing w:before="20"/>
              <w:rPr>
                <w:b/>
                <w:bCs/>
                <w:sz w:val="16"/>
                <w:u w:val="none"/>
              </w:rPr>
            </w:pPr>
            <w:r w:rsidRPr="00D86D71">
              <w:rPr>
                <w:b/>
                <w:bCs/>
                <w:sz w:val="16"/>
                <w:u w:val="none"/>
              </w:rPr>
              <w:t>Náklady na dílčí části rekvalifikace</w:t>
            </w:r>
            <w:r w:rsidRPr="00D86D71">
              <w:rPr>
                <w:sz w:val="16"/>
                <w:u w:val="none"/>
              </w:rPr>
              <w:t xml:space="preserve">, které pro rekvalifikační zařízení zajišťuje jiné rekvalifikační zařízení 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6.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spacing w:before="20"/>
              <w:jc w:val="left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Náklady pro výpočet zisku (součet řádků 1 až 4)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7.</w:t>
            </w:r>
          </w:p>
        </w:tc>
        <w:tc>
          <w:tcPr>
            <w:tcW w:w="567" w:type="dxa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/>
                <w:bCs/>
                <w:sz w:val="18"/>
                <w:u w:val="none"/>
              </w:rPr>
            </w:pPr>
            <w:r w:rsidRPr="00D86D71">
              <w:rPr>
                <w:b/>
                <w:bCs/>
                <w:sz w:val="18"/>
                <w:u w:val="none"/>
              </w:rPr>
              <w:t xml:space="preserve">Zisk </w:t>
            </w:r>
          </w:p>
        </w:tc>
        <w:tc>
          <w:tcPr>
            <w:tcW w:w="708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3972" w:type="dxa"/>
            <w:gridSpan w:val="5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2"/>
              <w:rPr>
                <w:bCs/>
                <w:sz w:val="16"/>
                <w:u w:val="none"/>
                <w:vertAlign w:val="subscript"/>
              </w:rPr>
            </w:pPr>
            <w:r w:rsidRPr="00D86D71">
              <w:rPr>
                <w:bCs/>
                <w:sz w:val="16"/>
                <w:u w:val="none"/>
              </w:rPr>
              <w:t>%  z částky v řádku 6   (</w:t>
            </w:r>
            <w:proofErr w:type="gramStart"/>
            <w:r w:rsidRPr="00D86D71">
              <w:rPr>
                <w:bCs/>
                <w:sz w:val="16"/>
                <w:u w:val="none"/>
              </w:rPr>
              <w:t>max.15</w:t>
            </w:r>
            <w:proofErr w:type="gramEnd"/>
            <w:r w:rsidRPr="00D86D71">
              <w:rPr>
                <w:bCs/>
                <w:sz w:val="16"/>
                <w:u w:val="none"/>
              </w:rPr>
              <w:t xml:space="preserve"> % ) 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8.</w:t>
            </w:r>
          </w:p>
        </w:tc>
        <w:tc>
          <w:tcPr>
            <w:tcW w:w="5247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CENA bez DPH (součet řádků 5 až 7)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  <w:b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</w:tr>
      <w:tr w:rsidRPr="00D86D71" w:rsidR="00774EA0" w:rsidTr="002F46E2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  9.</w:t>
            </w:r>
          </w:p>
        </w:tc>
        <w:tc>
          <w:tcPr>
            <w:tcW w:w="2124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dashSmallGap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CENA bez DPH po slevě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texttabulky"/>
              <w:rPr>
                <w:rFonts w:cs="Arial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dashSmallGap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  <w:u w:val="none"/>
              </w:rPr>
            </w:pPr>
            <w:r w:rsidRPr="00D86D71">
              <w:rPr>
                <w:color w:val="auto"/>
                <w:sz w:val="16"/>
                <w:u w:val="none"/>
              </w:rPr>
              <w:t>% z částky v řádku 8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color w:val="auto"/>
                <w:sz w:val="16"/>
              </w:rPr>
            </w:pPr>
          </w:p>
        </w:tc>
        <w:tc>
          <w:tcPr>
            <w:tcW w:w="3266" w:type="dxa"/>
            <w:gridSpan w:val="4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:rsidRPr="00D86D71" w:rsidR="00774EA0" w:rsidP="002F46E2" w:rsidRDefault="00774EA0">
            <w:pPr>
              <w:pStyle w:val="Nadpis1"/>
              <w:rPr>
                <w:b w:val="false"/>
                <w:bCs w:val="false"/>
                <w:color w:val="auto"/>
                <w:sz w:val="16"/>
              </w:rPr>
            </w:pPr>
          </w:p>
        </w:tc>
      </w:tr>
    </w:tbl>
    <w:p w:rsidRPr="00D86D71" w:rsidR="00774EA0" w:rsidP="00267EED" w:rsidRDefault="00774EA0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3"/>
        <w:gridCol w:w="5247"/>
        <w:gridCol w:w="992"/>
        <w:gridCol w:w="3266"/>
      </w:tblGrid>
      <w:tr w:rsidRPr="00D86D71" w:rsidR="00267EED" w:rsidTr="00AC7926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10.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Počet účastníků rekvalifikace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</w:tr>
      <w:tr w:rsidRPr="00D86D71" w:rsidR="00267EED" w:rsidTr="00AC7926">
        <w:tc>
          <w:tcPr>
            <w:tcW w:w="4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>11.</w:t>
            </w:r>
          </w:p>
        </w:tc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  <w:b/>
                <w:bCs/>
              </w:rPr>
            </w:pPr>
            <w:r w:rsidRPr="00D86D71">
              <w:rPr>
                <w:rFonts w:cs="Arial"/>
                <w:b/>
                <w:bCs/>
              </w:rPr>
              <w:t xml:space="preserve">Náklady na jednoho účastníka rekvalifikace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</w:tbl>
    <w:p w:rsidRPr="00D86D71" w:rsidR="00267EED" w:rsidP="00267EED" w:rsidRDefault="00267EED">
      <w:pPr>
        <w:pStyle w:val="Normlnweb"/>
        <w:spacing w:before="0" w:beforeAutospacing="false" w:after="0" w:afterAutospacing="false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0"/>
        <w:gridCol w:w="1260"/>
        <w:gridCol w:w="4063"/>
        <w:gridCol w:w="977"/>
        <w:gridCol w:w="3265"/>
      </w:tblGrid>
      <w:tr w:rsidRPr="00D86D71" w:rsidR="00267EED" w:rsidTr="00AC7926">
        <w:tc>
          <w:tcPr>
            <w:tcW w:w="999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Informace rekvalifikačního zařízení o možnostech stravování a ubytování účastníků rekvalifikace:</w:t>
            </w:r>
          </w:p>
        </w:tc>
      </w:tr>
      <w:tr w:rsidRPr="00D86D71" w:rsidR="00267EED" w:rsidTr="00AC7926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A.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Stravování: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  <w:tr w:rsidRPr="00D86D71" w:rsidR="00267EED" w:rsidTr="00AC7926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B.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Ubytování: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  <w:r w:rsidRPr="00D86D71">
              <w:rPr>
                <w:rFonts w:cs="Arial"/>
              </w:rPr>
              <w:t>Kč/ na jednoho účastníka</w:t>
            </w:r>
          </w:p>
        </w:tc>
      </w:tr>
      <w:tr w:rsidRPr="00D86D71" w:rsidR="00267EED" w:rsidTr="00AC7926">
        <w:tc>
          <w:tcPr>
            <w:tcW w:w="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rPr>
                <w:rFonts w:cs="Arial"/>
              </w:rPr>
            </w:pPr>
          </w:p>
        </w:tc>
        <w:tc>
          <w:tcPr>
            <w:tcW w:w="3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D86D71" w:rsidR="00267EED" w:rsidP="00AC7926" w:rsidRDefault="00267EED">
            <w:pPr>
              <w:pStyle w:val="texttabulky"/>
              <w:jc w:val="right"/>
              <w:rPr>
                <w:rFonts w:cs="Arial"/>
              </w:rPr>
            </w:pPr>
          </w:p>
        </w:tc>
      </w:tr>
    </w:tbl>
    <w:p w:rsidR="00741D95" w:rsidP="00067E14" w:rsidRDefault="00741D95">
      <w:pPr>
        <w:spacing w:after="120"/>
      </w:pPr>
      <w:bookmarkStart w:name="_GoBack" w:id="0"/>
      <w:bookmarkEnd w:id="0"/>
    </w:p>
    <w:p w:rsidR="00267EED" w:rsidP="00267EED" w:rsidRDefault="00267EED">
      <w:pPr>
        <w:pStyle w:val="Nadpis3"/>
        <w:rPr>
          <w:sz w:val="16"/>
          <w:u w:val="none"/>
        </w:rPr>
      </w:pPr>
      <w:r w:rsidRPr="00D86D71">
        <w:rPr>
          <w:sz w:val="16"/>
          <w:u w:val="none"/>
        </w:rPr>
        <w:t>V……………………………………               dne…………………………………</w:t>
      </w:r>
      <w:proofErr w:type="gramStart"/>
      <w:r w:rsidRPr="00D86D71">
        <w:rPr>
          <w:sz w:val="16"/>
          <w:u w:val="none"/>
        </w:rPr>
        <w:t>…..</w:t>
      </w:r>
      <w:proofErr w:type="gramEnd"/>
    </w:p>
    <w:p w:rsidRPr="00D86D71" w:rsidR="00267EED" w:rsidP="00267EED" w:rsidRDefault="00267EED">
      <w:pPr>
        <w:pStyle w:val="Nadpis3"/>
        <w:rPr>
          <w:sz w:val="16"/>
          <w:u w:val="none"/>
        </w:rPr>
      </w:pPr>
      <w:r w:rsidRPr="00D86D71">
        <w:rPr>
          <w:sz w:val="16"/>
          <w:u w:val="none"/>
        </w:rPr>
        <w:t xml:space="preserve">                                                                                                                                                                    podpis oprávněné osoby</w:t>
      </w:r>
    </w:p>
    <w:p w:rsidR="00267EED" w:rsidP="00267EED" w:rsidRDefault="00267EED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="00A47A56" w:rsidP="00267EED" w:rsidRDefault="00A47A56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="00A47A56" w:rsidP="00267EED" w:rsidRDefault="00A47A56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Pr="00D86D71" w:rsidR="00A47A56" w:rsidP="00267EED" w:rsidRDefault="00A47A56">
      <w:pPr>
        <w:pStyle w:val="Podtitul"/>
        <w:ind w:left="-180"/>
        <w:jc w:val="left"/>
        <w:rPr>
          <w:rFonts w:ascii="Arial" w:hAnsi="Arial" w:cs="Arial"/>
          <w:sz w:val="16"/>
        </w:rPr>
      </w:pPr>
    </w:p>
    <w:p w:rsidRPr="00D86D71" w:rsidR="00267EED" w:rsidP="00267EED" w:rsidRDefault="00267EED">
      <w:pPr>
        <w:pStyle w:val="Podtitul"/>
        <w:ind w:left="-180"/>
        <w:jc w:val="left"/>
        <w:rPr>
          <w:rFonts w:ascii="Arial" w:hAnsi="Arial" w:cs="Arial"/>
          <w:b w:val="false"/>
          <w:bCs w:val="false"/>
          <w:sz w:val="16"/>
        </w:rPr>
      </w:pPr>
      <w:r w:rsidRPr="00D86D71">
        <w:rPr>
          <w:rFonts w:ascii="Arial" w:hAnsi="Arial" w:cs="Arial"/>
          <w:sz w:val="16"/>
        </w:rPr>
        <w:t>Poznámka:</w:t>
      </w:r>
      <w:r w:rsidRPr="00D86D71">
        <w:rPr>
          <w:rFonts w:ascii="Arial" w:hAnsi="Arial" w:cs="Arial"/>
          <w:b w:val="false"/>
          <w:bCs w:val="false"/>
          <w:sz w:val="16"/>
        </w:rPr>
        <w:t xml:space="preserve"> V případě rekvalifikace, kterou zabezpečuje zaměstnavatel pro své zaměstnance, se za náklady rekvalifikace nepovažují náklady uvedené v řádku 1b a v řádku 3h a v případě, že je rekvalifikace zabezpečována ve vlastním rekvalifikačním zařízení zaměstnavatele, ani náklady uvedené v řádku 7.</w:t>
      </w:r>
    </w:p>
    <w:p w:rsidR="00CB756B" w:rsidRDefault="00CB756B"/>
    <w:sectPr w:rsidR="00CB756B" w:rsidSect="00067E14">
      <w:headerReference w:type="default" r:id="rId8"/>
      <w:footerReference w:type="default" r:id="rId9"/>
      <w:pgSz w:w="11906" w:h="16838"/>
      <w:pgMar w:top="0" w:right="851" w:bottom="426" w:left="851" w:header="27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67EED" w:rsidP="00267EED" w:rsidRDefault="00267EED">
      <w:r>
        <w:separator/>
      </w:r>
    </w:p>
  </w:endnote>
  <w:endnote w:type="continuationSeparator" w:id="0">
    <w:p w:rsidR="00267EED" w:rsidP="00267EED" w:rsidRDefault="00267EE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F78AB" w:rsidR="00AF78AB" w:rsidP="00AF78AB" w:rsidRDefault="00AF78AB">
    <w:pPr>
      <w:tabs>
        <w:tab w:val="center" w:pos="4536"/>
        <w:tab w:val="right" w:pos="9072"/>
      </w:tabs>
      <w:rPr>
        <w:rFonts w:asciiTheme="minorHAnsi" w:hAnsiTheme="minorHAnsi" w:eastAsiaTheme="minorHAnsi" w:cstheme="minorBidi"/>
        <w:sz w:val="22"/>
        <w:szCs w:val="22"/>
        <w:lang w:eastAsia="en-US"/>
      </w:rPr>
    </w:pPr>
    <w:r w:rsidRPr="00AF78AB">
      <w:rPr>
        <w:rFonts w:ascii="Tahoma" w:hAnsi="Tahoma" w:cs="Tahoma" w:eastAsiaTheme="minorHAnsi"/>
        <w:sz w:val="18"/>
        <w:szCs w:val="18"/>
        <w:lang w:eastAsia="en-US"/>
      </w:rPr>
      <w:t>Projekty jsou spolufinancovány Evropským sociálním fondem a státním rozpočtem České republiky.</w:t>
    </w:r>
  </w:p>
  <w:p w:rsidR="00267EED" w:rsidRDefault="00267EE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67EED" w:rsidP="00267EED" w:rsidRDefault="00267EED">
      <w:r>
        <w:separator/>
      </w:r>
    </w:p>
  </w:footnote>
  <w:footnote w:type="continuationSeparator" w:id="0">
    <w:p w:rsidR="00267EED" w:rsidP="00267EED" w:rsidRDefault="00267EE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67E14" w:rsidRDefault="00067E14">
    <w:pPr>
      <w:pStyle w:val="Zhlav"/>
    </w:pPr>
    <w:r>
      <w:rPr>
        <w:noProof/>
      </w:rPr>
      <w:drawing>
        <wp:inline distT="0" distB="0" distL="0" distR="0">
          <wp:extent cx="3790950" cy="590550"/>
          <wp:effectExtent l="0" t="0" r="0" b="0"/>
          <wp:docPr id="2" name="Obrázek 2" descr="C:\Users\lenka.safrankova\AppData\Local\Microsoft\Windows\Temporary Internet Files\Content.Outlook\RAC560VR\eu up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lenka.safrankova\AppData\Local\Microsoft\Windows\Temporary Internet Files\Content.Outlook\RAC560VR\eu up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EED" w:rsidRDefault="00267EE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ED"/>
    <w:rsid w:val="00067E14"/>
    <w:rsid w:val="00267EED"/>
    <w:rsid w:val="006E4FC1"/>
    <w:rsid w:val="00741D95"/>
    <w:rsid w:val="00774EA0"/>
    <w:rsid w:val="00916982"/>
    <w:rsid w:val="00A47A56"/>
    <w:rsid w:val="00AF78AB"/>
    <w:rsid w:val="00B932A2"/>
    <w:rsid w:val="00CB756B"/>
    <w:rsid w:val="00E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67EE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7EED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67EED"/>
    <w:pPr>
      <w:keepNext/>
      <w:outlineLvl w:val="1"/>
    </w:pPr>
    <w:rPr>
      <w:rFonts w:ascii="Arial" w:hAnsi="Arial" w:cs="Arial"/>
      <w:sz w:val="40"/>
      <w:u w:val="single"/>
    </w:rPr>
  </w:style>
  <w:style w:type="paragraph" w:styleId="Nadpis3">
    <w:name w:val="heading 3"/>
    <w:basedOn w:val="Normln"/>
    <w:next w:val="Normln"/>
    <w:link w:val="Nadpis3Char"/>
    <w:qFormat/>
    <w:rsid w:val="00267EED"/>
    <w:pPr>
      <w:keepNext/>
      <w:outlineLvl w:val="2"/>
    </w:pPr>
    <w:rPr>
      <w:rFonts w:ascii="Arial" w:hAnsi="Arial" w:cs="Arial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267EED"/>
    <w:rPr>
      <w:rFonts w:ascii="Arial" w:hAnsi="Arial" w:eastAsia="Times New Roman" w:cs="Arial"/>
      <w:b/>
      <w:bCs/>
      <w:color w:val="000000"/>
      <w:sz w:val="28"/>
      <w:szCs w:val="24"/>
      <w:u w:val="single"/>
      <w:lang w:eastAsia="cs-CZ"/>
    </w:rPr>
  </w:style>
  <w:style w:type="character" w:styleId="Nadpis2Char" w:customStyle="true">
    <w:name w:val="Nadpis 2 Char"/>
    <w:basedOn w:val="Standardnpsmoodstavce"/>
    <w:link w:val="Nadpis2"/>
    <w:rsid w:val="00267EED"/>
    <w:rPr>
      <w:rFonts w:ascii="Arial" w:hAnsi="Arial" w:eastAsia="Times New Roman" w:cs="Arial"/>
      <w:sz w:val="40"/>
      <w:szCs w:val="24"/>
      <w:u w:val="single"/>
      <w:lang w:eastAsia="cs-CZ"/>
    </w:rPr>
  </w:style>
  <w:style w:type="character" w:styleId="Nadpis3Char" w:customStyle="true">
    <w:name w:val="Nadpis 3 Char"/>
    <w:basedOn w:val="Standardnpsmoodstavce"/>
    <w:link w:val="Nadpis3"/>
    <w:rsid w:val="00267EED"/>
    <w:rPr>
      <w:rFonts w:ascii="Arial" w:hAnsi="Arial" w:eastAsia="Times New Roman" w:cs="Arial"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267EED"/>
    <w:pPr>
      <w:jc w:val="center"/>
    </w:pPr>
    <w:rPr>
      <w:b/>
      <w:bCs/>
      <w:sz w:val="28"/>
    </w:rPr>
  </w:style>
  <w:style w:type="character" w:styleId="PodtitulChar" w:customStyle="true">
    <w:name w:val="Podtitul Char"/>
    <w:basedOn w:val="Standardnpsmoodstavce"/>
    <w:link w:val="Podtitul"/>
    <w:rsid w:val="00267EED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tabulky" w:customStyle="true">
    <w:name w:val="text_tabulky"/>
    <w:basedOn w:val="Normln"/>
    <w:rsid w:val="00267EED"/>
    <w:pPr>
      <w:spacing w:before="60" w:after="20"/>
    </w:pPr>
    <w:rPr>
      <w:rFonts w:ascii="Arial" w:hAnsi="Arial"/>
      <w:sz w:val="16"/>
      <w:szCs w:val="20"/>
    </w:rPr>
  </w:style>
  <w:style w:type="paragraph" w:styleId="Normlnweb">
    <w:name w:val="Normal (Web)"/>
    <w:basedOn w:val="Normln"/>
    <w:rsid w:val="00267EED"/>
    <w:pPr>
      <w:spacing w:before="100" w:beforeAutospacing="true" w:after="100" w:afterAutospacing="true"/>
    </w:pPr>
  </w:style>
  <w:style w:type="paragraph" w:styleId="Zhlav">
    <w:name w:val="header"/>
    <w:basedOn w:val="Normln"/>
    <w:link w:val="ZhlavChar"/>
    <w:uiPriority w:val="99"/>
    <w:unhideWhenUsed/>
    <w:rsid w:val="00267EE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67E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EE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67EE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EE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67EED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67EE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qFormat/>
    <w:rsid w:val="00267EED"/>
    <w:pPr>
      <w:keepNext/>
      <w:jc w:val="both"/>
      <w:outlineLvl w:val="0"/>
    </w:pPr>
    <w:rPr>
      <w:rFonts w:ascii="Arial" w:cs="Arial" w:hAnsi="Arial"/>
      <w:b/>
      <w:bCs/>
      <w:color w:val="000000"/>
      <w:sz w:val="28"/>
      <w:u w:val="single"/>
    </w:rPr>
  </w:style>
  <w:style w:styleId="Nadpis2" w:type="paragraph">
    <w:name w:val="heading 2"/>
    <w:basedOn w:val="Normln"/>
    <w:next w:val="Normln"/>
    <w:link w:val="Nadpis2Char"/>
    <w:qFormat/>
    <w:rsid w:val="00267EED"/>
    <w:pPr>
      <w:keepNext/>
      <w:outlineLvl w:val="1"/>
    </w:pPr>
    <w:rPr>
      <w:rFonts w:ascii="Arial" w:cs="Arial" w:hAnsi="Arial"/>
      <w:sz w:val="40"/>
      <w:u w:val="single"/>
    </w:rPr>
  </w:style>
  <w:style w:styleId="Nadpis3" w:type="paragraph">
    <w:name w:val="heading 3"/>
    <w:basedOn w:val="Normln"/>
    <w:next w:val="Normln"/>
    <w:link w:val="Nadpis3Char"/>
    <w:qFormat/>
    <w:rsid w:val="00267EED"/>
    <w:pPr>
      <w:keepNext/>
      <w:outlineLvl w:val="2"/>
    </w:pPr>
    <w:rPr>
      <w:rFonts w:ascii="Arial" w:cs="Arial" w:hAnsi="Arial"/>
      <w:sz w:val="28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267EED"/>
    <w:rPr>
      <w:rFonts w:ascii="Arial" w:cs="Arial" w:eastAsia="Times New Roman" w:hAnsi="Arial"/>
      <w:b/>
      <w:bCs/>
      <w:color w:val="000000"/>
      <w:sz w:val="28"/>
      <w:szCs w:val="24"/>
      <w:u w:val="single"/>
      <w:lang w:eastAsia="cs-CZ"/>
    </w:rPr>
  </w:style>
  <w:style w:customStyle="1" w:styleId="Nadpis2Char" w:type="character">
    <w:name w:val="Nadpis 2 Char"/>
    <w:basedOn w:val="Standardnpsmoodstavce"/>
    <w:link w:val="Nadpis2"/>
    <w:rsid w:val="00267EED"/>
    <w:rPr>
      <w:rFonts w:ascii="Arial" w:cs="Arial" w:eastAsia="Times New Roman" w:hAnsi="Arial"/>
      <w:sz w:val="40"/>
      <w:szCs w:val="24"/>
      <w:u w:val="single"/>
      <w:lang w:eastAsia="cs-CZ"/>
    </w:rPr>
  </w:style>
  <w:style w:customStyle="1" w:styleId="Nadpis3Char" w:type="character">
    <w:name w:val="Nadpis 3 Char"/>
    <w:basedOn w:val="Standardnpsmoodstavce"/>
    <w:link w:val="Nadpis3"/>
    <w:rsid w:val="00267EED"/>
    <w:rPr>
      <w:rFonts w:ascii="Arial" w:cs="Arial" w:eastAsia="Times New Roman" w:hAnsi="Arial"/>
      <w:sz w:val="28"/>
      <w:szCs w:val="24"/>
      <w:u w:val="single"/>
      <w:lang w:eastAsia="cs-CZ"/>
    </w:rPr>
  </w:style>
  <w:style w:styleId="Podtitul" w:type="paragraph">
    <w:name w:val="Subtitle"/>
    <w:basedOn w:val="Normln"/>
    <w:link w:val="PodtitulChar"/>
    <w:qFormat/>
    <w:rsid w:val="00267EED"/>
    <w:pPr>
      <w:jc w:val="center"/>
    </w:pPr>
    <w:rPr>
      <w:b/>
      <w:bCs/>
      <w:sz w:val="28"/>
    </w:rPr>
  </w:style>
  <w:style w:customStyle="1" w:styleId="PodtitulChar" w:type="character">
    <w:name w:val="Podtitul Char"/>
    <w:basedOn w:val="Standardnpsmoodstavce"/>
    <w:link w:val="Podtitul"/>
    <w:rsid w:val="00267EED"/>
    <w:rPr>
      <w:rFonts w:ascii="Times New Roman" w:cs="Times New Roman" w:eastAsia="Times New Roman" w:hAnsi="Times New Roman"/>
      <w:b/>
      <w:bCs/>
      <w:sz w:val="28"/>
      <w:szCs w:val="24"/>
      <w:lang w:eastAsia="cs-CZ"/>
    </w:rPr>
  </w:style>
  <w:style w:customStyle="1" w:styleId="texttabulky" w:type="paragraph">
    <w:name w:val="text_tabulky"/>
    <w:basedOn w:val="Normln"/>
    <w:rsid w:val="00267EED"/>
    <w:pPr>
      <w:spacing w:after="20" w:before="60"/>
    </w:pPr>
    <w:rPr>
      <w:rFonts w:ascii="Arial" w:hAnsi="Arial"/>
      <w:sz w:val="16"/>
      <w:szCs w:val="20"/>
    </w:rPr>
  </w:style>
  <w:style w:styleId="Normlnweb" w:type="paragraph">
    <w:name w:val="Normal (Web)"/>
    <w:basedOn w:val="Normln"/>
    <w:rsid w:val="00267EED"/>
    <w:pPr>
      <w:spacing w:after="100" w:afterAutospacing="1" w:before="100" w:beforeAutospacing="1"/>
    </w:pPr>
  </w:style>
  <w:style w:styleId="Zhlav" w:type="paragraph">
    <w:name w:val="header"/>
    <w:basedOn w:val="Normln"/>
    <w:link w:val="ZhlavChar"/>
    <w:uiPriority w:val="99"/>
    <w:unhideWhenUsed/>
    <w:rsid w:val="00267EE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267EED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267EE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267EED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67EED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67EED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EBED769-8D37-4E24-9105-A33A84505FE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UP Pardubice</properties:Company>
  <properties:Pages>2</properties:Pages>
  <properties:Words>456</properties:Words>
  <properties:Characters>2697</properties:Characters>
  <properties:Lines>22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2014-11-12T09:51:00Z</dcterms:created>
  <dc:creator/>
  <cp:lastModifiedBy/>
  <cp:lastPrinted>2014-05-13T12:16:00Z</cp:lastPrinted>
  <dcterms:modified xmlns:xsi="http://www.w3.org/2001/XMLSchema-instance" xsi:type="dcterms:W3CDTF">2015-07-09T10:35:00Z</dcterms:modified>
  <cp:revision>4</cp:revision>
</cp:coreProperties>
</file>