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E0A35" w:rsidP="00E84B10" w:rsidRDefault="000E0A35">
      <w:pPr>
        <w:spacing w:after="0"/>
        <w:rPr>
          <w:rFonts w:ascii="Arial" w:hAnsi="Arial" w:cs="Arial"/>
          <w:b/>
          <w:sz w:val="20"/>
          <w:szCs w:val="20"/>
        </w:rPr>
      </w:pPr>
    </w:p>
    <w:p w:rsidR="00D64A4E" w:rsidP="00E84B10" w:rsidRDefault="002F419A">
      <w:pPr>
        <w:spacing w:after="0"/>
        <w:rPr>
          <w:rFonts w:ascii="Arial" w:hAnsi="Arial" w:cs="Arial"/>
          <w:sz w:val="20"/>
          <w:szCs w:val="20"/>
        </w:rPr>
      </w:pPr>
      <w:r w:rsidRPr="0045022F">
        <w:rPr>
          <w:rFonts w:ascii="Arial" w:hAnsi="Arial" w:cs="Arial"/>
          <w:b/>
          <w:sz w:val="20"/>
          <w:szCs w:val="20"/>
        </w:rPr>
        <w:t>„Stáže ve firmách – vzdělávání praxí“</w:t>
      </w:r>
      <w:r w:rsidRPr="002F419A">
        <w:rPr>
          <w:rFonts w:ascii="Arial" w:hAnsi="Arial" w:cs="Arial"/>
          <w:sz w:val="20"/>
          <w:szCs w:val="20"/>
        </w:rPr>
        <w:t xml:space="preserve"> (projekt je spolufinancován z Operačního programu Vzdělávání pro konkurenceschopnost</w:t>
      </w:r>
      <w:r w:rsidR="00F86919">
        <w:rPr>
          <w:rFonts w:ascii="Arial" w:hAnsi="Arial" w:cs="Arial"/>
          <w:sz w:val="20"/>
          <w:szCs w:val="20"/>
        </w:rPr>
        <w:t xml:space="preserve">, </w:t>
      </w:r>
      <w:r w:rsidRPr="002C1C06" w:rsidR="00F86919">
        <w:rPr>
          <w:rFonts w:ascii="Arial" w:hAnsi="Arial" w:cs="Arial"/>
          <w:sz w:val="20"/>
          <w:szCs w:val="20"/>
        </w:rPr>
        <w:t>registrační číslo projektu CZ.1.07/3.1.00/41.0001</w:t>
      </w:r>
      <w:r w:rsidR="00DF50BA">
        <w:rPr>
          <w:rFonts w:ascii="Arial" w:hAnsi="Arial" w:cs="Arial"/>
          <w:sz w:val="20"/>
          <w:szCs w:val="20"/>
        </w:rPr>
        <w:t>). Cílem</w:t>
      </w:r>
      <w:r w:rsidRPr="002F419A">
        <w:rPr>
          <w:rFonts w:ascii="Arial" w:hAnsi="Arial" w:cs="Arial"/>
          <w:sz w:val="20"/>
          <w:szCs w:val="20"/>
        </w:rPr>
        <w:t xml:space="preserve"> projektu je zavedení inovativního způsobu individuálního dalšího vzdělávání pomocí stáží ve firmách. Stáže se tak stanou nástrojem pro zvýšení kvalifikace a získání praxe v oboru. </w:t>
      </w:r>
    </w:p>
    <w:p w:rsidRPr="002F419A" w:rsidR="002F419A" w:rsidP="00E84B10" w:rsidRDefault="00D64A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projektu je v plné míře zajištěna Zadavatelem. Realizační tým zahrnuje 70 – 90 zaměstnanců zaměstnaných na hlavní pracovní poměr a přibližně 150 – 180 zaměstnanců zaměstnaných na dohody konané mimo pracovní poměr. Veškeré režijní a administrativní náklady projektové kanceláře jsou hrazeny z nepřímých nákladů projektu, které jsou 5% z celkových způsobilých výdajů. Nepřímé náklady zahrnují také velký počet tuzemských služebních cest a mzdové náklady některých zaměstnanců </w:t>
      </w:r>
      <w:proofErr w:type="spellStart"/>
      <w:r>
        <w:rPr>
          <w:rFonts w:ascii="Arial" w:hAnsi="Arial" w:cs="Arial"/>
          <w:sz w:val="20"/>
          <w:szCs w:val="20"/>
        </w:rPr>
        <w:t>backoffice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2F419A" w:rsidR="002F419A">
        <w:rPr>
          <w:rFonts w:ascii="Arial" w:hAnsi="Arial" w:cs="Arial"/>
          <w:sz w:val="20"/>
          <w:szCs w:val="20"/>
        </w:rPr>
        <w:t>V rámci projektu je proplácena přímá podpora (stravné</w:t>
      </w:r>
      <w:r w:rsidR="00DF50BA">
        <w:rPr>
          <w:rFonts w:ascii="Arial" w:hAnsi="Arial" w:cs="Arial"/>
          <w:sz w:val="20"/>
          <w:szCs w:val="20"/>
        </w:rPr>
        <w:t xml:space="preserve"> formou stravenek</w:t>
      </w:r>
      <w:r w:rsidRPr="002F419A" w:rsidR="002F419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cestovné, ubytování) pro cca 55</w:t>
      </w:r>
      <w:r w:rsidRPr="002F419A" w:rsidR="002F419A">
        <w:rPr>
          <w:rFonts w:ascii="Arial" w:hAnsi="Arial" w:cs="Arial"/>
          <w:sz w:val="20"/>
          <w:szCs w:val="20"/>
        </w:rPr>
        <w:t>00 stážistů.</w:t>
      </w:r>
      <w:r>
        <w:rPr>
          <w:rFonts w:ascii="Arial" w:hAnsi="Arial" w:cs="Arial"/>
          <w:sz w:val="20"/>
          <w:szCs w:val="20"/>
        </w:rPr>
        <w:t xml:space="preserve"> Výdaje jsou propláceny měsíčně na účet stážisty, stáž trvá průměrně 3 měsíce. Jde tedy o 16500 operací za dobu realizace. </w:t>
      </w:r>
      <w:r w:rsidRPr="002F419A" w:rsidR="002F419A">
        <w:rPr>
          <w:rFonts w:ascii="Arial" w:hAnsi="Arial" w:cs="Arial"/>
          <w:sz w:val="20"/>
          <w:szCs w:val="20"/>
        </w:rPr>
        <w:t>Náklady na stáž jsou</w:t>
      </w:r>
      <w:r w:rsidR="00DF50BA">
        <w:rPr>
          <w:rFonts w:ascii="Arial" w:hAnsi="Arial" w:cs="Arial"/>
          <w:sz w:val="20"/>
          <w:szCs w:val="20"/>
        </w:rPr>
        <w:t xml:space="preserve"> propláceny paušální částkou</w:t>
      </w:r>
      <w:r w:rsidRPr="002F419A" w:rsidR="002F419A">
        <w:rPr>
          <w:rFonts w:ascii="Arial" w:hAnsi="Arial" w:cs="Arial"/>
          <w:sz w:val="20"/>
          <w:szCs w:val="20"/>
        </w:rPr>
        <w:t xml:space="preserve"> na základě </w:t>
      </w:r>
      <w:r w:rsidR="00765A16">
        <w:rPr>
          <w:rFonts w:ascii="Arial" w:hAnsi="Arial" w:cs="Arial"/>
          <w:sz w:val="20"/>
          <w:szCs w:val="20"/>
        </w:rPr>
        <w:t xml:space="preserve">závěrečné </w:t>
      </w:r>
      <w:r w:rsidRPr="002F419A" w:rsidR="002F419A">
        <w:rPr>
          <w:rFonts w:ascii="Arial" w:hAnsi="Arial" w:cs="Arial"/>
          <w:sz w:val="20"/>
          <w:szCs w:val="20"/>
        </w:rPr>
        <w:t>faktury poskytovatelům</w:t>
      </w:r>
      <w:r w:rsidR="00DF50BA">
        <w:rPr>
          <w:rFonts w:ascii="Arial" w:hAnsi="Arial" w:cs="Arial"/>
          <w:sz w:val="20"/>
          <w:szCs w:val="20"/>
        </w:rPr>
        <w:t xml:space="preserve"> </w:t>
      </w:r>
      <w:r w:rsidRPr="002F419A" w:rsidR="002F419A">
        <w:rPr>
          <w:rFonts w:ascii="Arial" w:hAnsi="Arial" w:cs="Arial"/>
          <w:sz w:val="20"/>
          <w:szCs w:val="20"/>
        </w:rPr>
        <w:t>stáží</w:t>
      </w:r>
      <w:r w:rsidR="00DF50BA">
        <w:rPr>
          <w:rFonts w:ascii="Arial" w:hAnsi="Arial" w:cs="Arial"/>
          <w:sz w:val="20"/>
          <w:szCs w:val="20"/>
        </w:rPr>
        <w:t xml:space="preserve"> cca 2500 subjektů</w:t>
      </w:r>
      <w:r w:rsidR="00765A16">
        <w:rPr>
          <w:rFonts w:ascii="Arial" w:hAnsi="Arial" w:cs="Arial"/>
          <w:sz w:val="20"/>
          <w:szCs w:val="20"/>
        </w:rPr>
        <w:t xml:space="preserve">, tj. 2500 operací. </w:t>
      </w:r>
    </w:p>
    <w:p w:rsidRPr="002F419A" w:rsidR="002F419A" w:rsidP="00E84B10" w:rsidRDefault="002F419A">
      <w:pPr>
        <w:spacing w:after="0"/>
        <w:rPr>
          <w:rFonts w:ascii="Arial" w:hAnsi="Arial" w:cs="Arial"/>
          <w:sz w:val="20"/>
          <w:szCs w:val="20"/>
        </w:rPr>
      </w:pPr>
    </w:p>
    <w:p w:rsidR="003C39F9" w:rsidP="00E84B10" w:rsidRDefault="002F419A">
      <w:pPr>
        <w:spacing w:after="0"/>
        <w:rPr>
          <w:rFonts w:ascii="Arial" w:hAnsi="Arial" w:cs="Arial"/>
          <w:sz w:val="20"/>
          <w:szCs w:val="20"/>
        </w:rPr>
      </w:pPr>
      <w:r w:rsidRPr="0045022F">
        <w:rPr>
          <w:rFonts w:ascii="Arial" w:hAnsi="Arial" w:cs="Arial"/>
          <w:b/>
          <w:sz w:val="20"/>
          <w:szCs w:val="20"/>
        </w:rPr>
        <w:t>„Vzdělávání uchazečů o zaměstnání v oblasti socioekonomických kompetencí“</w:t>
      </w:r>
      <w:r w:rsidRPr="002F419A">
        <w:rPr>
          <w:rFonts w:ascii="Arial" w:hAnsi="Arial" w:cs="Arial"/>
          <w:sz w:val="20"/>
          <w:szCs w:val="20"/>
        </w:rPr>
        <w:t xml:space="preserve"> (projekt je spolufinancován z Operačního programu Lidské zdroje a zaměstnanost</w:t>
      </w:r>
      <w:r w:rsidR="00F86919">
        <w:rPr>
          <w:rFonts w:ascii="Arial" w:hAnsi="Arial" w:cs="Arial"/>
          <w:sz w:val="20"/>
          <w:szCs w:val="20"/>
        </w:rPr>
        <w:t xml:space="preserve">, </w:t>
      </w:r>
      <w:r w:rsidRPr="002C1C06" w:rsidR="00F86919">
        <w:rPr>
          <w:rFonts w:ascii="Arial" w:hAnsi="Arial" w:cs="Arial"/>
          <w:sz w:val="20"/>
          <w:szCs w:val="20"/>
        </w:rPr>
        <w:t>registrační číslo: CZ.1.04/2.1.00/03.00016</w:t>
      </w:r>
      <w:r w:rsidR="00DF50BA">
        <w:rPr>
          <w:rFonts w:ascii="Arial" w:hAnsi="Arial" w:cs="Arial"/>
          <w:sz w:val="20"/>
          <w:szCs w:val="20"/>
        </w:rPr>
        <w:t xml:space="preserve">). Cílem </w:t>
      </w:r>
      <w:r w:rsidRPr="002F419A">
        <w:rPr>
          <w:rFonts w:ascii="Arial" w:hAnsi="Arial" w:cs="Arial"/>
          <w:sz w:val="20"/>
          <w:szCs w:val="20"/>
        </w:rPr>
        <w:t>projektu je rozvoj socioekonomických kompetencí uchazečů o zaměstnání</w:t>
      </w:r>
      <w:r w:rsidR="00283041">
        <w:rPr>
          <w:rFonts w:ascii="Arial" w:hAnsi="Arial" w:cs="Arial"/>
          <w:sz w:val="20"/>
          <w:szCs w:val="20"/>
        </w:rPr>
        <w:t>, zejména finanční gramotnosti,</w:t>
      </w:r>
      <w:r w:rsidRPr="002F419A">
        <w:rPr>
          <w:rFonts w:ascii="Arial" w:hAnsi="Arial" w:cs="Arial"/>
          <w:sz w:val="20"/>
          <w:szCs w:val="20"/>
        </w:rPr>
        <w:t xml:space="preserve"> jejich zapojení v rámci institutu veřejné služby a pilotní ověření použití institutu veřejné služby pro kvalifikovanější činnosti.</w:t>
      </w:r>
      <w:r w:rsidR="00DF50BA">
        <w:rPr>
          <w:rFonts w:ascii="Arial" w:hAnsi="Arial" w:cs="Arial"/>
          <w:sz w:val="20"/>
          <w:szCs w:val="20"/>
        </w:rPr>
        <w:t xml:space="preserve"> Projekt je realizován prostřednictvím krajských dodavatelů. Cílové skupině jsou propláceny náhrady jízdného. </w:t>
      </w:r>
    </w:p>
    <w:p w:rsidR="003C39F9" w:rsidP="00E84B10" w:rsidRDefault="003C39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Realizační tým zahrnuje 23 zaměstnanců na hlavní pracovní poměr a 44 – 60 zaměstnanců na dohody mimo pracovní poměr. V projektu jsou uplatněny pouze přímé náklady.</w:t>
      </w:r>
    </w:p>
    <w:p w:rsidRPr="002F419A" w:rsidR="002F419A" w:rsidP="00E84B10" w:rsidRDefault="003C39F9">
      <w:pPr>
        <w:spacing w:after="0"/>
        <w:rPr>
          <w:rFonts w:ascii="Arial" w:hAnsi="Arial" w:cs="Arial"/>
          <w:sz w:val="20"/>
          <w:szCs w:val="20"/>
        </w:rPr>
      </w:pPr>
      <w:r w:rsidRPr="003C39F9">
        <w:rPr>
          <w:rFonts w:ascii="Arial" w:hAnsi="Arial" w:cs="Arial"/>
          <w:sz w:val="20"/>
          <w:szCs w:val="20"/>
        </w:rPr>
        <w:t xml:space="preserve">V průběhu realizace projektu bude umožněno 360 uchazečům o zaměstnání získat rekvalifikaci na lektorství SEKO (akreditované rekvalifikační kurzy lektorství a finanční gramotnosti rozšířené o doplňkový kurz měkkých dovedností). </w:t>
      </w:r>
      <w:r>
        <w:rPr>
          <w:rFonts w:ascii="Arial" w:hAnsi="Arial" w:cs="Arial"/>
          <w:sz w:val="20"/>
          <w:szCs w:val="20"/>
        </w:rPr>
        <w:t>Celkově bude podpořeno 3</w:t>
      </w:r>
      <w:r w:rsidR="00A44E0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="00A44E0B">
        <w:rPr>
          <w:rFonts w:ascii="Arial" w:hAnsi="Arial" w:cs="Arial"/>
          <w:sz w:val="20"/>
          <w:szCs w:val="20"/>
        </w:rPr>
        <w:t>86</w:t>
      </w:r>
      <w:r>
        <w:rPr>
          <w:rFonts w:ascii="Arial" w:hAnsi="Arial" w:cs="Arial"/>
          <w:sz w:val="20"/>
          <w:szCs w:val="20"/>
        </w:rPr>
        <w:t>0 uchazečů o zaměstnání.</w:t>
      </w:r>
      <w:r w:rsidR="008D3952">
        <w:rPr>
          <w:rFonts w:ascii="Arial" w:hAnsi="Arial" w:cs="Arial"/>
          <w:sz w:val="20"/>
          <w:szCs w:val="20"/>
        </w:rPr>
        <w:t xml:space="preserve"> V rámci projektu je proplácena přímá podpora pro ú</w:t>
      </w:r>
      <w:r w:rsidR="00A44E0B">
        <w:rPr>
          <w:rFonts w:ascii="Arial" w:hAnsi="Arial" w:cs="Arial"/>
          <w:sz w:val="20"/>
          <w:szCs w:val="20"/>
        </w:rPr>
        <w:t>častníky školení ve formě skutečných výdajů na cestovné a stravné formou stravenek.</w:t>
      </w:r>
    </w:p>
    <w:p w:rsidRPr="002F419A" w:rsidR="002F419A" w:rsidP="00E84B10" w:rsidRDefault="002F419A">
      <w:pPr>
        <w:spacing w:after="0"/>
        <w:rPr>
          <w:rFonts w:ascii="Arial" w:hAnsi="Arial" w:cs="Arial"/>
          <w:sz w:val="20"/>
          <w:szCs w:val="20"/>
        </w:rPr>
      </w:pPr>
    </w:p>
    <w:p w:rsidR="00364773" w:rsidP="00E84B10" w:rsidRDefault="00BC6BD1">
      <w:pPr>
        <w:spacing w:after="0"/>
        <w:rPr>
          <w:rFonts w:ascii="Arial" w:hAnsi="Arial" w:cs="Arial"/>
          <w:sz w:val="20"/>
          <w:szCs w:val="20"/>
        </w:rPr>
      </w:pPr>
      <w:r>
        <w:rPr>
          <w:b/>
        </w:rPr>
        <w:t>„</w:t>
      </w:r>
      <w:r w:rsidRPr="007054F6" w:rsidR="00AF1B1F">
        <w:rPr>
          <w:b/>
        </w:rPr>
        <w:t>Stáže pro mladé zájemce o zaměstnání</w:t>
      </w:r>
      <w:r>
        <w:rPr>
          <w:b/>
        </w:rPr>
        <w:t>“</w:t>
      </w:r>
      <w:r w:rsidR="00AF1B1F">
        <w:t xml:space="preserve"> </w:t>
      </w:r>
      <w:r w:rsidRPr="002F419A" w:rsidR="00AF1B1F">
        <w:rPr>
          <w:rFonts w:ascii="Arial" w:hAnsi="Arial" w:cs="Arial"/>
          <w:sz w:val="20"/>
          <w:szCs w:val="20"/>
        </w:rPr>
        <w:t>(projekt je spolufinancován z Operačního programu Lidské zdroje a zaměstnanost</w:t>
      </w:r>
      <w:r w:rsidR="00AF1B1F">
        <w:rPr>
          <w:rFonts w:ascii="Arial" w:hAnsi="Arial" w:cs="Arial"/>
          <w:sz w:val="20"/>
          <w:szCs w:val="20"/>
        </w:rPr>
        <w:t xml:space="preserve">, </w:t>
      </w:r>
      <w:r w:rsidRPr="002C1C06" w:rsidR="00AF1B1F">
        <w:rPr>
          <w:rFonts w:ascii="Arial" w:hAnsi="Arial" w:cs="Arial"/>
          <w:sz w:val="20"/>
          <w:szCs w:val="20"/>
        </w:rPr>
        <w:t>registrační číslo:</w:t>
      </w:r>
      <w:r w:rsidR="00AF1B1F">
        <w:rPr>
          <w:rFonts w:ascii="Arial" w:hAnsi="Arial" w:cs="Arial"/>
          <w:sz w:val="20"/>
          <w:szCs w:val="20"/>
        </w:rPr>
        <w:t xml:space="preserve"> </w:t>
      </w:r>
      <w:r w:rsidRPr="00AF6D7C" w:rsidR="00AF1B1F">
        <w:rPr>
          <w:rFonts w:ascii="Arial" w:hAnsi="Arial" w:cs="Arial"/>
          <w:sz w:val="20"/>
          <w:szCs w:val="20"/>
        </w:rPr>
        <w:t>CZ.1.04/2.1.00/99.00001 - h</w:t>
      </w:r>
      <w:r w:rsidR="00AF1B1F">
        <w:rPr>
          <w:rFonts w:ascii="Arial" w:hAnsi="Arial" w:cs="Arial"/>
          <w:sz w:val="20"/>
          <w:szCs w:val="20"/>
        </w:rPr>
        <w:t xml:space="preserve">lavní náplní projektu je zprostředkování stáží zájemcům na základě trojstranné smlouvy (mezi stážistou, poskytovatelem a FDV ). </w:t>
      </w:r>
    </w:p>
    <w:p w:rsidR="00364773" w:rsidP="00E84B10" w:rsidRDefault="003647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Realizační tým zahrnuje 16 zaměstnanců na hlavní pracovní poměr a 6 zaměstnanců na dohody mimo pracovní poměr.</w:t>
      </w:r>
    </w:p>
    <w:p w:rsidR="00232864" w:rsidP="00E84B10" w:rsidRDefault="00AF1B1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Stáže i částečná refundace mzdy mentora (který se bude stážistovi věnovat)</w:t>
      </w:r>
      <w:r w:rsidR="00C67862">
        <w:rPr>
          <w:rFonts w:ascii="Arial" w:hAnsi="Arial" w:cs="Arial"/>
          <w:sz w:val="20"/>
          <w:szCs w:val="20"/>
        </w:rPr>
        <w:t>, je</w:t>
      </w:r>
      <w:r>
        <w:rPr>
          <w:rFonts w:ascii="Arial" w:hAnsi="Arial" w:cs="Arial"/>
          <w:sz w:val="20"/>
          <w:szCs w:val="20"/>
        </w:rPr>
        <w:t xml:space="preserve"> proplácena FDV na základě faktury. Předpokládá se poskytnutí stáží pro 840 podpořených osob.</w:t>
      </w:r>
      <w:r w:rsidR="000E2CEF">
        <w:rPr>
          <w:rFonts w:ascii="Arial" w:hAnsi="Arial" w:cs="Arial"/>
          <w:sz w:val="20"/>
          <w:szCs w:val="20"/>
        </w:rPr>
        <w:t xml:space="preserve"> Bude se </w:t>
      </w:r>
      <w:r w:rsidR="00364773">
        <w:rPr>
          <w:rFonts w:ascii="Arial" w:hAnsi="Arial" w:cs="Arial"/>
          <w:sz w:val="20"/>
          <w:szCs w:val="20"/>
        </w:rPr>
        <w:t xml:space="preserve">také </w:t>
      </w:r>
      <w:r w:rsidR="000E2CEF">
        <w:rPr>
          <w:rFonts w:ascii="Arial" w:hAnsi="Arial" w:cs="Arial"/>
          <w:sz w:val="20"/>
          <w:szCs w:val="20"/>
        </w:rPr>
        <w:t>vyplácet podpora pro realizační tým</w:t>
      </w:r>
      <w:r w:rsidR="00605323">
        <w:rPr>
          <w:rFonts w:ascii="Arial" w:hAnsi="Arial" w:cs="Arial"/>
          <w:sz w:val="20"/>
          <w:szCs w:val="20"/>
        </w:rPr>
        <w:t xml:space="preserve"> při kontrolních cestách</w:t>
      </w:r>
      <w:r w:rsidR="000E2CEF">
        <w:rPr>
          <w:rFonts w:ascii="Arial" w:hAnsi="Arial" w:cs="Arial"/>
          <w:sz w:val="20"/>
          <w:szCs w:val="20"/>
        </w:rPr>
        <w:t xml:space="preserve">, tedy jejich cestovné, ubytování a stravné, kdy se předpokládá cca 160 </w:t>
      </w:r>
      <w:r w:rsidR="00605323">
        <w:rPr>
          <w:rFonts w:ascii="Arial" w:hAnsi="Arial" w:cs="Arial"/>
          <w:sz w:val="20"/>
          <w:szCs w:val="20"/>
        </w:rPr>
        <w:t xml:space="preserve">tuzemských </w:t>
      </w:r>
      <w:r w:rsidR="000E2CEF">
        <w:rPr>
          <w:rFonts w:ascii="Arial" w:hAnsi="Arial" w:cs="Arial"/>
          <w:sz w:val="20"/>
          <w:szCs w:val="20"/>
        </w:rPr>
        <w:t>cest.</w:t>
      </w:r>
    </w:p>
    <w:p w:rsidR="00AF6D7C" w:rsidP="00E84B10" w:rsidRDefault="00AF6D7C">
      <w:pPr>
        <w:spacing w:after="0"/>
        <w:rPr>
          <w:rFonts w:ascii="Arial" w:hAnsi="Arial" w:cs="Arial"/>
          <w:sz w:val="20"/>
          <w:szCs w:val="20"/>
        </w:rPr>
      </w:pPr>
    </w:p>
    <w:p w:rsidR="005E41AA" w:rsidP="00E84B10" w:rsidRDefault="00AF6D7C">
      <w:pPr>
        <w:rPr>
          <w:rFonts w:ascii="Arial" w:hAnsi="Arial" w:cs="Arial"/>
          <w:sz w:val="20"/>
          <w:szCs w:val="20"/>
        </w:rPr>
      </w:pPr>
      <w:r w:rsidRPr="00AF6D7C">
        <w:rPr>
          <w:b/>
        </w:rPr>
        <w:t>„ Vzdělávání OZP“</w:t>
      </w:r>
      <w:r>
        <w:rPr>
          <w:rFonts w:ascii="Arial" w:hAnsi="Arial" w:eastAsia="Arial" w:cs="Arial"/>
          <w:sz w:val="20"/>
        </w:rPr>
        <w:t xml:space="preserve"> </w:t>
      </w:r>
      <w:r w:rsidRPr="002F419A" w:rsidR="006544FF">
        <w:rPr>
          <w:rFonts w:ascii="Arial" w:hAnsi="Arial" w:cs="Arial"/>
          <w:sz w:val="20"/>
          <w:szCs w:val="20"/>
        </w:rPr>
        <w:t>(projekt je spolufinancován z Operačního programu Lidské zdroje a zaměstnanost</w:t>
      </w:r>
      <w:r w:rsidR="006544FF">
        <w:rPr>
          <w:rFonts w:ascii="Arial" w:hAnsi="Arial" w:cs="Arial"/>
          <w:sz w:val="20"/>
          <w:szCs w:val="20"/>
        </w:rPr>
        <w:t xml:space="preserve">, </w:t>
      </w:r>
      <w:r w:rsidRPr="002C1C06" w:rsidR="006544FF">
        <w:rPr>
          <w:rFonts w:ascii="Arial" w:hAnsi="Arial" w:cs="Arial"/>
          <w:sz w:val="20"/>
          <w:szCs w:val="20"/>
        </w:rPr>
        <w:t>registrační číslo:</w:t>
      </w:r>
      <w:r w:rsidR="006544FF">
        <w:rPr>
          <w:rFonts w:ascii="Arial" w:hAnsi="Arial" w:cs="Arial"/>
          <w:sz w:val="20"/>
          <w:szCs w:val="20"/>
        </w:rPr>
        <w:t xml:space="preserve"> </w:t>
      </w:r>
      <w:r w:rsidRPr="00AF6D7C" w:rsidR="006544FF">
        <w:rPr>
          <w:rFonts w:ascii="Arial" w:hAnsi="Arial" w:cs="Arial"/>
          <w:sz w:val="20"/>
          <w:szCs w:val="20"/>
        </w:rPr>
        <w:t>CZ.1.04/</w:t>
      </w:r>
      <w:r w:rsidR="006544FF">
        <w:rPr>
          <w:rFonts w:ascii="Arial" w:hAnsi="Arial" w:cs="Arial"/>
          <w:sz w:val="20"/>
          <w:szCs w:val="20"/>
        </w:rPr>
        <w:t>1</w:t>
      </w:r>
      <w:r w:rsidRPr="00AF6D7C" w:rsidR="006544FF">
        <w:rPr>
          <w:rFonts w:ascii="Arial" w:hAnsi="Arial" w:cs="Arial"/>
          <w:sz w:val="20"/>
          <w:szCs w:val="20"/>
        </w:rPr>
        <w:t>.1.00/</w:t>
      </w:r>
      <w:r w:rsidR="006544FF">
        <w:rPr>
          <w:rFonts w:ascii="Arial" w:hAnsi="Arial" w:cs="Arial"/>
          <w:sz w:val="20"/>
          <w:szCs w:val="20"/>
        </w:rPr>
        <w:t>A5.</w:t>
      </w:r>
      <w:r w:rsidRPr="00AF6D7C" w:rsidR="006544FF">
        <w:rPr>
          <w:rFonts w:ascii="Arial" w:hAnsi="Arial" w:cs="Arial"/>
          <w:sz w:val="20"/>
          <w:szCs w:val="20"/>
        </w:rPr>
        <w:t xml:space="preserve">00001 </w:t>
      </w:r>
      <w:r w:rsidR="006544FF">
        <w:rPr>
          <w:rFonts w:ascii="Arial" w:hAnsi="Arial" w:cs="Arial"/>
          <w:sz w:val="20"/>
          <w:szCs w:val="20"/>
        </w:rPr>
        <w:t>- h</w:t>
      </w:r>
      <w:r w:rsidRPr="00FC0722">
        <w:rPr>
          <w:rFonts w:ascii="Arial" w:hAnsi="Arial" w:eastAsia="Arial" w:cs="Arial"/>
          <w:sz w:val="20"/>
        </w:rPr>
        <w:t>lavním cílem projektu je přispět ke zlepšení postavení OZP na trhu práce. Realizace bude spočívat v podpoře vzdělávání zaměstnanců se ZP (bez ohledu na typ postižení). Zaměstnavatelé se budou moci přihlásit s žádostí o úhradu nákladů na vzdělávání svých zaměstnanců se ZP</w:t>
      </w:r>
      <w:r w:rsidR="008B4066">
        <w:rPr>
          <w:rFonts w:ascii="Arial" w:hAnsi="Arial" w:eastAsia="Arial" w:cs="Arial"/>
          <w:sz w:val="20"/>
        </w:rPr>
        <w:t>, nebo vzdělávání personalistů</w:t>
      </w:r>
      <w:r w:rsidRPr="00FC0722">
        <w:rPr>
          <w:rFonts w:ascii="Arial" w:hAnsi="Arial" w:eastAsia="Arial" w:cs="Arial"/>
          <w:sz w:val="20"/>
        </w:rPr>
        <w:t>.</w:t>
      </w:r>
      <w:r w:rsidR="005E41AA">
        <w:rPr>
          <w:rFonts w:ascii="Arial" w:hAnsi="Arial" w:eastAsia="Arial" w:cs="Arial"/>
          <w:sz w:val="20"/>
        </w:rPr>
        <w:br/>
      </w:r>
      <w:r w:rsidR="005E41AA">
        <w:rPr>
          <w:rFonts w:ascii="Arial" w:hAnsi="Arial" w:cs="Arial"/>
          <w:sz w:val="20"/>
          <w:szCs w:val="20"/>
        </w:rPr>
        <w:t xml:space="preserve">Realizace projektu je v plné míře zajištěna Zadavatelem. Realizační tým zahrnuje 10 zaměstnanců zaměstnaných na hlavní pracovní poměr a přibližně 21 zaměstnanců zaměstnaných na dohody konané mimo pracovní poměr. Veškeré režijní a administrativní náklady projektové kanceláře jsou hrazeny </w:t>
      </w:r>
      <w:r w:rsidR="005E41AA">
        <w:rPr>
          <w:rFonts w:ascii="Arial" w:hAnsi="Arial" w:cs="Arial"/>
          <w:sz w:val="20"/>
          <w:szCs w:val="20"/>
        </w:rPr>
        <w:lastRenderedPageBreak/>
        <w:t xml:space="preserve">z nepřímých nákladů projektu, které jsou 10% z celkových způsobilých výdajů. Nepřímé náklady zahrnují také velký počet tuzemských služebních cest, náklady na provoz kanceláře a mzdové náklady některých zaměstnanců </w:t>
      </w:r>
      <w:proofErr w:type="spellStart"/>
      <w:r w:rsidR="005E41AA">
        <w:rPr>
          <w:rFonts w:ascii="Arial" w:hAnsi="Arial" w:cs="Arial"/>
          <w:sz w:val="20"/>
          <w:szCs w:val="20"/>
        </w:rPr>
        <w:t>backoffice</w:t>
      </w:r>
      <w:proofErr w:type="spellEnd"/>
      <w:r w:rsidR="005E41AA">
        <w:rPr>
          <w:rFonts w:ascii="Arial" w:hAnsi="Arial" w:cs="Arial"/>
          <w:sz w:val="20"/>
          <w:szCs w:val="20"/>
        </w:rPr>
        <w:t>.</w:t>
      </w:r>
      <w:r w:rsidR="003465B9">
        <w:rPr>
          <w:rFonts w:ascii="Arial" w:hAnsi="Arial" w:cs="Arial"/>
          <w:sz w:val="20"/>
          <w:szCs w:val="20"/>
        </w:rPr>
        <w:t xml:space="preserve"> V rámci přímé podpory bude podpořeno celkově 1 300 zaměstnanců se zdravotním omezením a 300 personalistů.</w:t>
      </w:r>
      <w:r w:rsidR="00D25F02">
        <w:rPr>
          <w:rFonts w:ascii="Arial" w:hAnsi="Arial" w:cs="Arial"/>
          <w:sz w:val="20"/>
          <w:szCs w:val="20"/>
        </w:rPr>
        <w:t xml:space="preserve"> O proplacení budou moci zaměstnavatelé žádat maximálně ve dvou splátkách.</w:t>
      </w:r>
    </w:p>
    <w:p w:rsidR="00AF6D7C" w:rsidP="00E84B10" w:rsidRDefault="00DF50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informací o uvedených projektech je k dispozici na </w:t>
      </w:r>
      <w:hyperlink w:history="true" r:id="rId8">
        <w:r>
          <w:rPr>
            <w:rStyle w:val="Hypertextovodkaz"/>
          </w:rPr>
          <w:t>http://fdv.mpsv.cz/index.php/cinnosti-fdv</w:t>
        </w:r>
      </w:hyperlink>
      <w:r>
        <w:t>.</w:t>
      </w:r>
    </w:p>
    <w:tbl>
      <w:tblPr>
        <w:tblW w:w="13624" w:type="dxa"/>
        <w:tblInd w:w="55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62"/>
        <w:gridCol w:w="1581"/>
        <w:gridCol w:w="1417"/>
        <w:gridCol w:w="2552"/>
        <w:gridCol w:w="2126"/>
        <w:gridCol w:w="1843"/>
        <w:gridCol w:w="1843"/>
      </w:tblGrid>
      <w:tr w:rsidR="00E84B10" w:rsidTr="00E84B10">
        <w:trPr>
          <w:trHeight w:val="1245"/>
        </w:trPr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Název projektu</w:t>
            </w:r>
          </w:p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(Operační program)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Celkové náklady projektu (v Kč)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Doba realizace (ověření nákladů za období)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Předpokládaná (indikativní) struktura nákladů projektu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Předpokládaný počet realizátorů projektu počet </w:t>
            </w:r>
          </w:p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(počet uzavřených pracovně právních vztahů)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Předpokládaný počet a typ realizovaných výběrových řízení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</w:tcPr>
          <w:p w:rsidR="00E84B10" w:rsidP="00AB1A76" w:rsidRDefault="00E84B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84B10" w:rsidP="00E84B10" w:rsidRDefault="00E84B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Maximální cena</w:t>
            </w:r>
            <w:r w:rsidR="005805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bez DPH</w:t>
            </w:r>
          </w:p>
        </w:tc>
      </w:tr>
      <w:tr w:rsidR="00E84B10" w:rsidTr="00E84B10">
        <w:trPr>
          <w:trHeight w:val="1170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bookmarkStart w:name="_GoBack" w:id="0"/>
            <w:bookmarkEnd w:id="0"/>
            <w:r>
              <w:rPr>
                <w:rFonts w:ascii="Arial" w:hAnsi="Arial" w:cs="Arial"/>
                <w:sz w:val="16"/>
                <w:szCs w:val="16"/>
              </w:rPr>
              <w:t>Stáže ve firmách – vzdělávání praxí</w:t>
            </w:r>
          </w:p>
          <w:p w:rsidR="00E84B10" w:rsidP="00AB1A76" w:rsidRDefault="00E84B10">
            <w:r>
              <w:rPr>
                <w:rFonts w:ascii="Arial" w:hAnsi="Arial" w:cs="Arial"/>
                <w:sz w:val="16"/>
                <w:szCs w:val="16"/>
              </w:rPr>
              <w:t>(OP VK)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jc w:val="right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1.6.2012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31.10.2014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Mzdové náklady -  11,20 %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Nákup majetku - 0,22 %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Režijní náklady - 5 %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Nákup služeb - 73,80 %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Přímá podpora - 9,70 %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HPP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150 Dohod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(2 x nadlimitní, 4 x podlimitní,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5 x VZMR)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E84B10" w:rsidP="00AB1A76" w:rsidRDefault="00E84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145 000,- Kč</w:t>
            </w:r>
          </w:p>
        </w:tc>
      </w:tr>
      <w:tr w:rsidR="00E84B10" w:rsidTr="00E84B10">
        <w:trPr>
          <w:trHeight w:val="1350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r>
              <w:rPr>
                <w:rFonts w:ascii="Arial" w:hAnsi="Arial" w:cs="Arial"/>
                <w:sz w:val="16"/>
                <w:szCs w:val="16"/>
              </w:rPr>
              <w:t>Vzdělávání uchazečů o zaměstnání v oblasti socioekonomických kompetencí</w:t>
            </w:r>
          </w:p>
          <w:p w:rsidR="00E84B10" w:rsidP="00AB1A76" w:rsidRDefault="00E84B10">
            <w:r>
              <w:rPr>
                <w:rFonts w:ascii="Arial" w:hAnsi="Arial" w:cs="Arial"/>
                <w:sz w:val="16"/>
                <w:szCs w:val="16"/>
              </w:rPr>
              <w:t>(OP LZZ)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298 399 838,95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jc w:val="right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1.7.2012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30.6.2015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Mzdové náklady - 3,50 %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Cestovné - 0,13 %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Nákup majetku - 0,24 %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Režijní náklady - 0,86 %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Nákup služeb - 86,32 %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Přímá podpora - 8,91 %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HPP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44 Dohod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(1 x nadlimitní, 6 x podlimitní,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3 x VZMR)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E84B10" w:rsidP="00AB1A76" w:rsidRDefault="00E84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82 000,- Kč</w:t>
            </w:r>
          </w:p>
        </w:tc>
      </w:tr>
      <w:tr w:rsidR="00E84B10" w:rsidTr="00E84B10">
        <w:trPr>
          <w:trHeight w:val="1350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4B10" w:rsidP="00AB1A76" w:rsidRDefault="00E84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Stáže pro mladé zájemce o zaměstnání</w:t>
            </w:r>
          </w:p>
          <w:p w:rsidR="00E84B10" w:rsidP="00AB1A76" w:rsidRDefault="00E84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(OP LZZ)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4B10" w:rsidP="00AB1A76" w:rsidRDefault="00E84B1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1E48A8">
              <w:rPr>
                <w:rFonts w:ascii="Arial" w:hAnsi="Arial" w:cs="Arial"/>
                <w:color w:val="000000"/>
                <w:sz w:val="16"/>
                <w:szCs w:val="16"/>
              </w:rPr>
              <w:t>71 189 857,01</w:t>
            </w:r>
          </w:p>
          <w:p w:rsidR="00E84B10" w:rsidP="00AB1A76" w:rsidRDefault="00E84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4B10" w:rsidP="00AB1A76" w:rsidRDefault="00E84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1.9.2012-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31.8.2015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4B10" w:rsidP="00AB1A76" w:rsidRDefault="00E84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Mzdové náklady -  18,12 %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Cestovné - 0,36 %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Nákup majetku- 0,80 %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Režijní náklady - 5,45 %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Nákup služeb - 70,95 %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4B10" w:rsidP="00364773" w:rsidRDefault="00E84B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HPP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6 Dohod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4B10" w:rsidP="00AB1A76" w:rsidRDefault="00E84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(1 x nadlimitní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5 x podlimitní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2 x VZMR)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E84B10" w:rsidP="00AB1A76" w:rsidRDefault="00E84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50 000,- Kč</w:t>
            </w:r>
          </w:p>
        </w:tc>
      </w:tr>
      <w:tr w:rsidR="00E84B10" w:rsidTr="00E84B10">
        <w:trPr>
          <w:trHeight w:val="1350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Vzdělávání OZP </w:t>
            </w:r>
          </w:p>
          <w:p w:rsidR="00E84B10" w:rsidP="00AB1A76" w:rsidRDefault="00E84B10">
            <w:r>
              <w:rPr>
                <w:rFonts w:ascii="Arial" w:hAnsi="Arial" w:cs="Arial"/>
                <w:sz w:val="16"/>
                <w:szCs w:val="16"/>
              </w:rPr>
              <w:t>(OP LZZ)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168 335 181,78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jc w:val="right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1.1.2013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31.8.2015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Mzdové náklady - 8,31 %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Nákup majetku - 0,23 %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Režijní náklady - 1,68 %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Nákup služeb - 53,20 %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Přímá podpora - 38,14 %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x HPP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21 x Dohod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B10" w:rsidP="00AB1A76" w:rsidRDefault="00E84B1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(1 x nadlimitní,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6 x podlimitní,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6 x VZMR)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E84B10" w:rsidP="00AB1A76" w:rsidRDefault="00E84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70 000,- Kč</w:t>
            </w:r>
          </w:p>
        </w:tc>
      </w:tr>
    </w:tbl>
    <w:p w:rsidR="00015065" w:rsidP="002F419A" w:rsidRDefault="00015065">
      <w:pPr>
        <w:rPr>
          <w:rFonts w:ascii="Arial" w:hAnsi="Arial" w:cs="Arial"/>
          <w:sz w:val="20"/>
          <w:szCs w:val="20"/>
        </w:rPr>
      </w:pPr>
    </w:p>
    <w:sectPr w:rsidR="00015065" w:rsidSect="00E84B10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65E6" w:rsidP="002F419A" w:rsidRDefault="000065E6">
      <w:pPr>
        <w:spacing w:after="0" w:line="240" w:lineRule="auto"/>
      </w:pPr>
      <w:r>
        <w:separator/>
      </w:r>
    </w:p>
  </w:endnote>
  <w:endnote w:type="continuationSeparator" w:id="0">
    <w:p w:rsidR="000065E6" w:rsidP="002F419A" w:rsidRDefault="0000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F419A" w:rsidRDefault="00D64DA4">
    <w:pPr>
      <w:pStyle w:val="Zpat"/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103A25BE" wp14:editId="21C6AFC9">
          <wp:simplePos x="0" y="0"/>
          <wp:positionH relativeFrom="column">
            <wp:posOffset>1086485</wp:posOffset>
          </wp:positionH>
          <wp:positionV relativeFrom="paragraph">
            <wp:posOffset>-121285</wp:posOffset>
          </wp:positionV>
          <wp:extent cx="3645535" cy="738505"/>
          <wp:effectExtent l="19050" t="0" r="0" b="0"/>
          <wp:wrapSquare wrapText="bothSides"/>
          <wp:docPr id="7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553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419A" w:rsidP="002F419A" w:rsidRDefault="002F419A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65E6" w:rsidP="002F419A" w:rsidRDefault="000065E6">
      <w:pPr>
        <w:spacing w:after="0" w:line="240" w:lineRule="auto"/>
      </w:pPr>
      <w:r>
        <w:separator/>
      </w:r>
    </w:p>
  </w:footnote>
  <w:footnote w:type="continuationSeparator" w:id="0">
    <w:p w:rsidR="000065E6" w:rsidP="002F419A" w:rsidRDefault="0000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F419A" w:rsidRDefault="002F419A">
    <w:pPr>
      <w:pStyle w:val="Zhlav"/>
    </w:pPr>
    <w:r w:rsidRPr="002F419A">
      <w:rPr>
        <w:noProof/>
      </w:rPr>
      <w:drawing>
        <wp:anchor distT="0" distB="0" distL="114300" distR="114300" simplePos="false" relativeHeight="251659264" behindDoc="false" locked="false" layoutInCell="true" allowOverlap="true" wp14:anchorId="178C77BE" wp14:editId="02DA6AA6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5597525" cy="604520"/>
          <wp:effectExtent l="0" t="0" r="3175" b="5080"/>
          <wp:wrapSquare wrapText="bothSides"/>
          <wp:docPr id="3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8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419A" w:rsidRDefault="002F419A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9A"/>
    <w:rsid w:val="000065E6"/>
    <w:rsid w:val="00015065"/>
    <w:rsid w:val="0005567B"/>
    <w:rsid w:val="000E0A35"/>
    <w:rsid w:val="000E2CEF"/>
    <w:rsid w:val="001269A1"/>
    <w:rsid w:val="002008FA"/>
    <w:rsid w:val="00232864"/>
    <w:rsid w:val="00283041"/>
    <w:rsid w:val="002F419A"/>
    <w:rsid w:val="002F65B6"/>
    <w:rsid w:val="00300DCA"/>
    <w:rsid w:val="003465B9"/>
    <w:rsid w:val="00364773"/>
    <w:rsid w:val="00386CFE"/>
    <w:rsid w:val="003A19CE"/>
    <w:rsid w:val="003C39F9"/>
    <w:rsid w:val="0045022F"/>
    <w:rsid w:val="00511993"/>
    <w:rsid w:val="00580571"/>
    <w:rsid w:val="005967AC"/>
    <w:rsid w:val="005E41AA"/>
    <w:rsid w:val="00605323"/>
    <w:rsid w:val="006117D3"/>
    <w:rsid w:val="006159B8"/>
    <w:rsid w:val="006544FF"/>
    <w:rsid w:val="007054F6"/>
    <w:rsid w:val="00722ABA"/>
    <w:rsid w:val="00751A89"/>
    <w:rsid w:val="00765A16"/>
    <w:rsid w:val="008B4066"/>
    <w:rsid w:val="008D3952"/>
    <w:rsid w:val="00925601"/>
    <w:rsid w:val="00932AF8"/>
    <w:rsid w:val="00A074CE"/>
    <w:rsid w:val="00A44E0B"/>
    <w:rsid w:val="00A67381"/>
    <w:rsid w:val="00AF1B1F"/>
    <w:rsid w:val="00AF6D7C"/>
    <w:rsid w:val="00B1300F"/>
    <w:rsid w:val="00B547E0"/>
    <w:rsid w:val="00BA56BA"/>
    <w:rsid w:val="00BC6BD1"/>
    <w:rsid w:val="00C06AF0"/>
    <w:rsid w:val="00C67862"/>
    <w:rsid w:val="00D10016"/>
    <w:rsid w:val="00D25F02"/>
    <w:rsid w:val="00D64A4E"/>
    <w:rsid w:val="00D64DA4"/>
    <w:rsid w:val="00DF50BA"/>
    <w:rsid w:val="00E26A56"/>
    <w:rsid w:val="00E84B10"/>
    <w:rsid w:val="00EF709F"/>
    <w:rsid w:val="00F024E4"/>
    <w:rsid w:val="00F86919"/>
    <w:rsid w:val="00FA6F13"/>
    <w:rsid w:val="00F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19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F419A"/>
  </w:style>
  <w:style w:type="paragraph" w:styleId="Zpat">
    <w:name w:val="footer"/>
    <w:basedOn w:val="Normln"/>
    <w:link w:val="ZpatChar"/>
    <w:uiPriority w:val="99"/>
    <w:unhideWhenUsed/>
    <w:rsid w:val="002F419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F419A"/>
  </w:style>
  <w:style w:type="paragraph" w:styleId="Textbubliny">
    <w:name w:val="Balloon Text"/>
    <w:basedOn w:val="Normln"/>
    <w:link w:val="TextbublinyChar"/>
    <w:uiPriority w:val="99"/>
    <w:semiHidden/>
    <w:unhideWhenUsed/>
    <w:rsid w:val="002F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F419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30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130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300F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DF50B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84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B1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84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B1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84B10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2F419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2F419A"/>
  </w:style>
  <w:style w:styleId="Zpat" w:type="paragraph">
    <w:name w:val="footer"/>
    <w:basedOn w:val="Normln"/>
    <w:link w:val="ZpatChar"/>
    <w:uiPriority w:val="99"/>
    <w:unhideWhenUsed/>
    <w:rsid w:val="002F419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F419A"/>
  </w:style>
  <w:style w:styleId="Textbubliny" w:type="paragraph">
    <w:name w:val="Balloon Text"/>
    <w:basedOn w:val="Normln"/>
    <w:link w:val="TextbublinyChar"/>
    <w:uiPriority w:val="99"/>
    <w:semiHidden/>
    <w:unhideWhenUsed/>
    <w:rsid w:val="002F419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F419A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B1300F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B1300F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B1300F"/>
    <w:rPr>
      <w:vertAlign w:val="superscript"/>
    </w:rPr>
  </w:style>
  <w:style w:styleId="Hypertextovodkaz" w:type="character">
    <w:name w:val="Hyperlink"/>
    <w:basedOn w:val="Standardnpsmoodstavce"/>
    <w:uiPriority w:val="99"/>
    <w:semiHidden/>
    <w:unhideWhenUsed/>
    <w:rsid w:val="00DF50BA"/>
    <w:rPr>
      <w:color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E84B1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84B10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84B10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84B1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84B10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91223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758680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342439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4805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5328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112673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2231019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83079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16125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8831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95216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fdv.mpsv.cz/index.php/cinnosti-fdv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BE03194-64D5-4F53-ACF3-05F108C5198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853</properties:Words>
  <properties:Characters>5039</properties:Characters>
  <properties:Lines>41</properties:Lines>
  <properties:Paragraphs>11</properties:Paragraphs>
  <properties:TotalTime>132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2013-09-02T05:30:00Z</dcterms:created>
  <dc:creator/>
  <cp:lastModifiedBy/>
  <dcterms:modified xmlns:xsi="http://www.w3.org/2001/XMLSchema-instance" xsi:type="dcterms:W3CDTF">2013-09-26T08:48:00Z</dcterms:modified>
  <cp:revision>27</cp:revision>
</cp:coreProperties>
</file>