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line="276"/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 xml:space="preserve">Příloha č. 3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rtl w:val="0"/>
        </w:rPr>
        <w:t xml:space="preserve">KUPNÍ SMLOUVA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uzavřená podle ust. §</w:t>
      </w: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 xml:space="preserve"> 2079</w:t>
      </w: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 a násl. zákona č. 89/2012 Sb., občanský zákoník,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(dále jen „občanský zákoník“)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Smluvní strany: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contextualSpacing w:val="1"/>
        <w:jc w:val="both"/>
        <w:rPr>
          <w:rFonts w:cs="Arial" w:hAnsi="Arial" w:eastAsia="Arial" w:ascii="Arial"/>
          <w:b w:val="1"/>
          <w:sz w:val="22"/>
          <w:u w:val="none"/>
        </w:rPr>
      </w:pP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 xml:space="preserve">Technologická agentura České republiky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Sídlo:                      </w:t>
        <w:tab/>
        <w:t xml:space="preserve">Evropská 1692/37, 160 00 Praha 6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IČ:                           </w:t>
        <w:tab/>
        <w:t xml:space="preserve">72050365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Zastoupená:           </w:t>
        <w:tab/>
        <w:t xml:space="preserve">Ing. Luďkem Knorrem, ředitelem Kanceláře TA ČR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3240" w:firstLine="0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(dále jen </w:t>
      </w: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 xml:space="preserve">„kupující“)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3240" w:firstLine="0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after="0" w:line="276" w:before="0"/>
        <w:ind w:left="720" w:hanging="359"/>
        <w:contextualSpacing w:val="1"/>
        <w:jc w:val="both"/>
        <w:rPr>
          <w:rFonts w:cs="Arial" w:hAnsi="Arial" w:eastAsia="Arial" w:ascii="Arial"/>
          <w:b w:val="1"/>
          <w:sz w:val="22"/>
          <w:u w:val="none"/>
        </w:rPr>
      </w:pP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 xml:space="preserve">xxx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1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Sídlo: </w:t>
        <w:tab/>
        <w:tab/>
        <w:tab/>
        <w:t xml:space="preserve">xxx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1"/>
        <w:ind w:left="2160" w:hanging="2158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Zapsaná:</w:t>
        <w:tab/>
        <w:t xml:space="preserve"> xxx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1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IČ: </w:t>
        <w:tab/>
        <w:tab/>
        <w:tab/>
        <w:t xml:space="preserve">xxx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1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DIČ: </w:t>
        <w:tab/>
        <w:tab/>
        <w:tab/>
        <w:t xml:space="preserve">xxx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1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Zastoupená: </w:t>
        <w:tab/>
        <w:tab/>
        <w:t xml:space="preserve">xxx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1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Kontaktní osoba:</w:t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1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Bankovní spojení: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1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Číslo účtu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(dále jako „</w:t>
      </w: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 xml:space="preserve">prodávající</w:t>
      </w: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“)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76" w:before="100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uzavřeli níže uvedeného dne tuto</w:t>
      </w: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 xml:space="preserve"> </w:t>
      </w: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Smlouvu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 xml:space="preserve">I.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 xml:space="preserve">Předmět dodávky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after="0" w:line="276" w:before="0"/>
        <w:ind w:left="720" w:hanging="358"/>
        <w:contextualSpacing w:val="1"/>
        <w:jc w:val="both"/>
        <w:rPr>
          <w:rFonts w:cs="Arial" w:hAnsi="Arial" w:eastAsia="Arial" w:ascii="Arial"/>
          <w:sz w:val="22"/>
        </w:rPr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Předmětem této smlouvy je dodání kancelářského nábytku </w:t>
      </w: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 pro projekt </w:t>
      </w: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Zefektivnění činnosti TAČR v oblasti podpory VaVaI a podpora posilování odborných kapacit organizací veřejné správy v oblasti VaVaI (č. projektu: CZ.1.04/4.1.00/D4.00003), dále jen „zboží“ nebo „předmět koupě“.</w:t>
      </w: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 xml:space="preserve"> </w:t>
      </w: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Specifikaci zboží určuje Příloha č. 1 této smlouvy Položkový rozpočet.</w:t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after="0" w:line="276" w:before="0"/>
        <w:ind w:left="720" w:hanging="358"/>
        <w:contextualSpacing w:val="1"/>
        <w:jc w:val="both"/>
        <w:rPr>
          <w:rFonts w:cs="Arial" w:hAnsi="Arial" w:eastAsia="Arial" w:ascii="Arial"/>
          <w:sz w:val="22"/>
        </w:rPr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Prodávající se zavazuje v této smlouvě specifikovaný předmět koupě dodat včas a řádně za podmínek uvedených v této smlouvě. Kupující se zavazuje převzít tento předmět koupě a zaplatit za něj v této smlouvě sjednanou kupní cenu.</w:t>
      </w:r>
    </w:p>
    <w:p w:rsidP="00000000" w:rsidRPr="00000000" w:rsidR="00000000" w:rsidDel="00000000" w:rsidRDefault="00000000">
      <w:pPr>
        <w:spacing w:lineRule="auto" w:line="276"/>
        <w:ind w:left="72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72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72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72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72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72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 xml:space="preserve">II.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 xml:space="preserve">Cena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spacing w:lineRule="auto" w:after="0" w:line="276" w:before="0"/>
        <w:ind w:left="720" w:hanging="358"/>
        <w:contextualSpacing w:val="1"/>
        <w:jc w:val="both"/>
        <w:rPr>
          <w:rFonts w:cs="Arial" w:hAnsi="Arial" w:eastAsia="Arial" w:ascii="Arial"/>
          <w:sz w:val="22"/>
        </w:rPr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Kupní cena byla stanovena dohodou smluvních stran jako nejvýše přípustná a v souladu s platnými cenovými předpisy. Obsahuje veškeré náklady spojené s dodávkou předmětu koupě na místo určení a montáží. Cenu lze překročit pouze z důvodu změny zákonné sazby DPH.</w:t>
      </w:r>
    </w:p>
    <w:p w:rsidP="00000000" w:rsidRPr="00000000" w:rsidR="00000000" w:rsidDel="00000000" w:rsidRDefault="00000000">
      <w:pPr>
        <w:numPr>
          <w:ilvl w:val="0"/>
          <w:numId w:val="8"/>
        </w:numPr>
        <w:spacing w:lineRule="auto" w:after="0" w:line="276" w:before="0"/>
        <w:ind w:left="720" w:hanging="358"/>
        <w:contextualSpacing w:val="1"/>
        <w:jc w:val="both"/>
        <w:rPr>
          <w:rFonts w:cs="Arial" w:hAnsi="Arial" w:eastAsia="Arial" w:ascii="Arial"/>
          <w:sz w:val="22"/>
          <w:highlight w:val="yellow"/>
        </w:rPr>
      </w:pPr>
      <w:r w:rsidRPr="00000000" w:rsidR="00000000" w:rsidDel="00000000">
        <w:rPr>
          <w:rFonts w:cs="Arial" w:hAnsi="Arial" w:eastAsia="Arial" w:ascii="Arial"/>
          <w:sz w:val="22"/>
          <w:highlight w:val="yellow"/>
          <w:rtl w:val="0"/>
        </w:rPr>
        <w:t xml:space="preserve">Celková cena bez DPH činí: </w:t>
        <w:tab/>
        <w:t xml:space="preserve">…………… Kč</w:t>
      </w:r>
    </w:p>
    <w:p w:rsidP="00000000" w:rsidRPr="00000000" w:rsidR="00000000" w:rsidDel="00000000" w:rsidRDefault="00000000">
      <w:pPr>
        <w:spacing w:lineRule="auto" w:after="120" w:line="276"/>
        <w:ind w:firstLine="709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highlight w:val="yellow"/>
          <w:rtl w:val="0"/>
        </w:rPr>
        <w:t xml:space="preserve">DPH: </w:t>
        <w:tab/>
        <w:tab/>
        <w:tab/>
        <w:tab/>
        <w:t xml:space="preserve">…………… Kč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76"/>
        <w:ind w:firstLine="709"/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sz w:val="22"/>
          <w:highlight w:val="yellow"/>
          <w:rtl w:val="0"/>
        </w:rPr>
        <w:t xml:space="preserve">Celková cena včetně DPH:. </w:t>
        <w:tab/>
        <w:t xml:space="preserve">…………… Kč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 xml:space="preserve">III.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 xml:space="preserve">Platební podmínky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spacing w:lineRule="auto" w:line="276"/>
        <w:ind w:left="720" w:hanging="358"/>
        <w:jc w:val="both"/>
        <w:rPr>
          <w:rFonts w:cs="Arial" w:hAnsi="Arial" w:eastAsia="Arial" w:ascii="Arial"/>
          <w:sz w:val="22"/>
        </w:rPr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Kupující je povinen zaplatit za dodaný předmět koupě kupní cenu uvedenou v čl. II této smlouvy</w:t>
      </w:r>
      <w:r w:rsidRPr="00000000" w:rsidR="00000000" w:rsidDel="00000000">
        <w:rPr>
          <w:rFonts w:cs="Arial" w:hAnsi="Arial" w:eastAsia="Arial" w:ascii="Arial"/>
          <w:color w:val="ff0000"/>
          <w:sz w:val="22"/>
          <w:rtl w:val="0"/>
        </w:rPr>
        <w:t xml:space="preserve"> </w:t>
      </w: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 na základě daňového dokladu – faktury zaslané prodávajícím na adresu kupujícího. Splatnost faktury je 30 dnů. Faktura musí obsahovat všechny náležitosti řádného daňového a účetního dokladu ve smyslu příslušných právních předpisů a dále identifikaci projektu CZ.1.04/4.1.00/D4.00003 .</w:t>
      </w:r>
    </w:p>
    <w:p w:rsidP="00000000" w:rsidRPr="00000000" w:rsidR="00000000" w:rsidDel="00000000" w:rsidRDefault="00000000">
      <w:pPr>
        <w:numPr>
          <w:ilvl w:val="0"/>
          <w:numId w:val="10"/>
        </w:numPr>
        <w:spacing w:lineRule="auto" w:after="120" w:line="276"/>
        <w:ind w:left="720" w:hanging="358"/>
        <w:jc w:val="both"/>
        <w:rPr>
          <w:rFonts w:cs="Arial" w:hAnsi="Arial" w:eastAsia="Arial" w:ascii="Arial"/>
          <w:sz w:val="22"/>
        </w:rPr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V případě, že faktura nebude mít odpovídající náležitosti, je kupující oprávněn zaslat ji ve lhůtě splatnosti zpět prodávajícímu k doplnění či úpravě, aniž se dostane do prodlení se splatností – lhůta splatnosti počíná běžet znovu od opětovného doručení doplněného nebo opraveného dokladu kupujícímu.</w:t>
      </w:r>
    </w:p>
    <w:p w:rsidP="00000000" w:rsidRPr="00000000" w:rsidR="00000000" w:rsidDel="00000000" w:rsidRDefault="00000000">
      <w:pPr>
        <w:numPr>
          <w:ilvl w:val="0"/>
          <w:numId w:val="10"/>
        </w:numPr>
        <w:spacing w:lineRule="auto" w:after="120" w:line="276"/>
        <w:ind w:left="720" w:hanging="358"/>
        <w:jc w:val="both"/>
        <w:rPr>
          <w:rFonts w:cs="Arial" w:hAnsi="Arial" w:eastAsia="Arial" w:ascii="Arial"/>
          <w:sz w:val="22"/>
        </w:rPr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Prodávající se zavazuje vystavit po dodání předmětu koupě daňový doklad do 15 dnů ode dne uskutečnění zdanitelného plnění, přičemž plnění se považuje za uskutečněné dnem převzetí předmětu koupě kupujícím a oboustranným podepsáním dodacího listu vystaveného prodávajícím.</w:t>
      </w:r>
    </w:p>
    <w:p w:rsidP="00000000" w:rsidRPr="00000000" w:rsidR="00000000" w:rsidDel="00000000" w:rsidRDefault="00000000">
      <w:pPr>
        <w:spacing w:lineRule="auto" w:after="120" w:line="276"/>
        <w:ind w:left="72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 xml:space="preserve">IV.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 xml:space="preserve">Dodací lhůta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spacing w:lineRule="auto" w:line="276"/>
        <w:ind w:left="720" w:hanging="358"/>
        <w:jc w:val="both"/>
        <w:rPr>
          <w:rFonts w:cs="Arial" w:hAnsi="Arial" w:eastAsia="Arial" w:ascii="Arial"/>
          <w:sz w:val="22"/>
        </w:rPr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Prodávající je povinen dodat kupujícímu předmět koupě dle této smlouvy ve lhůtě do 14 dnů od podpisu této kupní smlouvy. </w:t>
      </w:r>
    </w:p>
    <w:p w:rsidP="00000000" w:rsidRPr="00000000" w:rsidR="00000000" w:rsidDel="00000000" w:rsidRDefault="00000000">
      <w:pPr>
        <w:numPr>
          <w:ilvl w:val="0"/>
          <w:numId w:val="7"/>
        </w:numPr>
        <w:spacing w:lineRule="auto" w:line="276"/>
        <w:ind w:left="720" w:hanging="358"/>
        <w:jc w:val="both"/>
        <w:rPr>
          <w:rFonts w:cs="Arial" w:hAnsi="Arial" w:eastAsia="Arial" w:ascii="Arial"/>
          <w:sz w:val="22"/>
        </w:rPr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Místem plnění je na adrese: Evropská 33c, 160 00 Praha 6.</w:t>
      </w:r>
    </w:p>
    <w:p w:rsidP="00000000" w:rsidRPr="00000000" w:rsidR="00000000" w:rsidDel="00000000" w:rsidRDefault="00000000">
      <w:pPr>
        <w:spacing w:lineRule="auto" w:line="276"/>
        <w:ind w:left="72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 xml:space="preserve">V.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 xml:space="preserve">Realizace předmětu smlouvy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276"/>
        <w:ind w:left="720" w:hanging="358"/>
        <w:jc w:val="both"/>
        <w:rPr>
          <w:rFonts w:cs="Arial" w:hAnsi="Arial" w:eastAsia="Arial" w:ascii="Arial"/>
          <w:sz w:val="22"/>
        </w:rPr>
      </w:pPr>
      <w:bookmarkStart w:id="0" w:colFirst="0" w:name="h.gjdgxs" w:colLast="0"/>
      <w:bookmarkEnd w:id="0"/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Vlastnictví k předmětu koupě přejde na kupujícího úplným zaplacením kupní ceny, přičemž nebezpečí škody na předmětu koupě přechází na kupujícího okamžikem jeho převzetí od prodávajícího.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100" w:line="276" w:before="100"/>
        <w:ind w:left="720" w:hanging="358"/>
        <w:jc w:val="both"/>
        <w:rPr>
          <w:rFonts w:cs="Arial" w:hAnsi="Arial" w:eastAsia="Arial" w:ascii="Arial"/>
          <w:sz w:val="22"/>
        </w:rPr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Prodávající se zavazuje dodat předmět koupě bezplatně do místa určeného kupujícím. Kupující je povinen poskytnout k tomuto prodávajícímu náležitou součinnost. Dodání předmětu koupě se uskuteční jeho předáním a převzetím na základě předávacích protokolů.</w:t>
      </w:r>
    </w:p>
    <w:p w:rsidP="00000000" w:rsidRPr="00000000" w:rsidR="00000000" w:rsidDel="00000000" w:rsidRDefault="00000000">
      <w:pPr>
        <w:spacing w:lineRule="auto" w:line="276"/>
        <w:ind w:left="72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 xml:space="preserve">VI.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 xml:space="preserve">Záruka za jakost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76" w:before="0"/>
        <w:ind w:left="720" w:hanging="358"/>
        <w:contextualSpacing w:val="1"/>
        <w:jc w:val="both"/>
        <w:rPr>
          <w:rFonts w:cs="Arial" w:hAnsi="Arial" w:eastAsia="Arial" w:ascii="Arial"/>
          <w:sz w:val="22"/>
        </w:rPr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Prodávající poskytuje kupujícímu záruku za jakost předmětu koupě spočívající v tom, že předmět koupě bude po záruční dobu způsobilý pro použití k jeho obvyklým účelům a zachová si obvyklé vlastnosti.</w:t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76" w:before="0"/>
        <w:ind w:left="720" w:hanging="358"/>
        <w:contextualSpacing w:val="1"/>
        <w:jc w:val="both"/>
        <w:rPr>
          <w:rFonts w:cs="Arial" w:hAnsi="Arial" w:eastAsia="Arial" w:ascii="Arial"/>
          <w:sz w:val="22"/>
        </w:rPr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Záruční doba na dodaný předmět plnění je 2 roky a počíná běžet dnem předání předmětu koupě bez vad kupujícímu.</w:t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76" w:before="0"/>
        <w:ind w:left="720" w:hanging="358"/>
        <w:contextualSpacing w:val="1"/>
        <w:jc w:val="both"/>
        <w:rPr>
          <w:rFonts w:cs="Arial" w:hAnsi="Arial" w:eastAsia="Arial" w:ascii="Arial"/>
          <w:sz w:val="22"/>
        </w:rPr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Záruční servis uplatňuje kupující písemně (e-mailem/poštou).</w:t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76" w:before="0"/>
        <w:ind w:left="720" w:hanging="358"/>
        <w:contextualSpacing w:val="1"/>
        <w:jc w:val="both"/>
        <w:rPr>
          <w:rFonts w:cs="Arial" w:hAnsi="Arial" w:eastAsia="Arial" w:ascii="Arial"/>
          <w:sz w:val="22"/>
        </w:rPr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V případě výskytu vad předmětu koupě v záruční době uvedené v tomto článku smlouvy je kupující povinen tyto bezodkladně po jejich zjištění prodávajícímu písemně oznámit. Prodávající je povinen tyto vady odstranit nejpozději do 30 dnů ode dne jejich oznámení kupujícím. O odstranění vad vyhotoví smluvní strany písemný záznam.</w:t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76" w:before="0"/>
        <w:ind w:left="720" w:hanging="358"/>
        <w:contextualSpacing w:val="1"/>
        <w:jc w:val="both"/>
        <w:rPr>
          <w:rFonts w:cs="Arial" w:hAnsi="Arial" w:eastAsia="Arial" w:ascii="Arial"/>
          <w:sz w:val="22"/>
        </w:rPr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Prodávající po dobu záruční lhůty vyzvedne vadné/reklamované zboží v sídle kupujícího bez jakýchkoliv finančních nároků spojených s reklamací (např. cestovné) ze strany prodávajícího. Vyzvednutí proběhne do 2 pracovních dnů od nahlášení závady. Předání opraveného zboží proběhne za shodných podmínek.</w:t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 xml:space="preserve">VII.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 xml:space="preserve">Sankční ujednání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76" w:before="0"/>
        <w:ind w:left="720" w:hanging="358"/>
        <w:contextualSpacing w:val="1"/>
        <w:jc w:val="both"/>
        <w:rPr>
          <w:rFonts w:cs="Arial" w:hAnsi="Arial" w:eastAsia="Arial" w:ascii="Arial"/>
          <w:sz w:val="22"/>
        </w:rPr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V případě nedodržení termínu dodání předmětu koupě dle článku IV této smlouvy, je prodávající povinen zaplatit kupujícímu  smluvní pokutu ve výši 0,1 % z celkové kupní ceny za každý den prodlení. Zaplacením smluvní pokuty není dotčeno právo kupujícího na náhradu škody. </w:t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76" w:before="0"/>
        <w:ind w:left="720" w:hanging="358"/>
        <w:contextualSpacing w:val="1"/>
        <w:jc w:val="both"/>
        <w:rPr>
          <w:rFonts w:cs="Arial" w:hAnsi="Arial" w:eastAsia="Arial" w:ascii="Arial"/>
          <w:sz w:val="22"/>
        </w:rPr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V případě, že je prodávají v prodlení s dodáním předmětu koupě dle této smlouvy déle než 30 dní, je kupující oprávněn od této smlouvy odstoupit. Odstoupením se smlouva ruší dnem doručení písemného oznámení o odstoupení prodávajícímu. </w:t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76" w:before="0"/>
        <w:ind w:left="720" w:hanging="358"/>
        <w:contextualSpacing w:val="1"/>
        <w:jc w:val="both"/>
        <w:rPr>
          <w:rFonts w:cs="Arial" w:hAnsi="Arial" w:eastAsia="Arial" w:ascii="Arial"/>
          <w:sz w:val="22"/>
        </w:rPr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V případě prodlení se zaplacením kupní ceny dle čl. III této smlouvy, je kupující povinen zaplatit prodávajícímu úrok z prodlení na základě nařízení vlády č. 351/2013 Sb., kterým se určuje výše úroků z prodlení a nákladů spojených s uplatněním pohledávky.</w:t>
      </w:r>
    </w:p>
    <w:p w:rsidP="00000000" w:rsidRPr="00000000" w:rsidR="00000000" w:rsidDel="00000000" w:rsidRDefault="00000000">
      <w:pPr>
        <w:spacing w:lineRule="auto" w:line="276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before="240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 xml:space="preserve">VI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 xml:space="preserve">Závěrečná ustanovení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0" w:line="276" w:before="0"/>
        <w:ind w:left="720" w:hanging="358"/>
        <w:contextualSpacing w:val="1"/>
        <w:jc w:val="both"/>
        <w:rPr>
          <w:rFonts w:cs="Arial" w:hAnsi="Arial" w:eastAsia="Arial" w:ascii="Arial"/>
          <w:sz w:val="22"/>
        </w:rPr>
      </w:pPr>
      <w:bookmarkStart w:id="1" w:colFirst="0" w:name="h.30j0zll" w:colLast="0"/>
      <w:bookmarkEnd w:id="1"/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Jakékoliv změny a doplňky této smlouvy jsou možné pouze formou písemných, vzestupně číslovaných a oboustranně podepsaných dodatků osobami oprávněnými jednat jménem či za smluvní strany.</w:t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0" w:line="276" w:before="0"/>
        <w:ind w:left="720" w:hanging="358"/>
        <w:contextualSpacing w:val="1"/>
        <w:jc w:val="both"/>
        <w:rPr>
          <w:rFonts w:cs="Arial" w:hAnsi="Arial" w:eastAsia="Arial" w:ascii="Arial"/>
          <w:sz w:val="22"/>
        </w:rPr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Tato smlouva nabývá platnosti a účinnosti dnem jejího podpisu. Tato smlouva je vyhotovena ve dvou stejnopisech, z nichž nájemce obdrží jeden stejnopis a pronajímatel jeden stejnopis.</w:t>
      </w:r>
    </w:p>
    <w:p w:rsidP="00000000" w:rsidRPr="00000000" w:rsidR="00000000" w:rsidDel="00000000" w:rsidRDefault="00000000">
      <w:pPr>
        <w:spacing w:lineRule="auto" w:line="276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080"/>
        </w:tabs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Příloha č. 1: Položkový rozpočet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4820"/>
        </w:tabs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V Praze dne ________________</w:t>
        <w:tab/>
        <w:tab/>
        <w:t xml:space="preserve">V ___________dne____________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0"/>
          <w:tab w:val="left" w:pos="4680"/>
        </w:tabs>
        <w:ind w:left="547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0"/>
          <w:tab w:val="left" w:pos="2835"/>
          <w:tab w:val="left" w:pos="5103"/>
          <w:tab w:val="left" w:pos="8080"/>
        </w:tabs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0"/>
          <w:tab w:val="left" w:pos="2835"/>
          <w:tab w:val="left" w:pos="5103"/>
          <w:tab w:val="left" w:pos="8080"/>
        </w:tabs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___________________________</w:t>
        <w:tab/>
        <w:t xml:space="preserve">____________________________</w:t>
        <w:tab/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4680"/>
        </w:tabs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za kupujícího</w:t>
        <w:tab/>
        <w:tab/>
        <w:t xml:space="preserve">za prodávajícího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4680"/>
        </w:tabs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Ing. Luděk Knorr</w:t>
        <w:tab/>
        <w:tab/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4680"/>
        </w:tabs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ředitel Kanceláře TA ČR</w:t>
        <w:tab/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center" w:pos="2340"/>
          <w:tab w:val="center" w:pos="6660"/>
        </w:tabs>
        <w:spacing w:lineRule="auto" w:line="276"/>
        <w:contextualSpacing w:val="0"/>
        <w:jc w:val="both"/>
      </w:pPr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1906" w:h="16838"/>
      <w:pgMar w:left="1417" w:right="1417" w:top="1417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tabs>
        <w:tab w:val="center" w:pos="4536"/>
        <w:tab w:val="right" w:pos="9072"/>
      </w:tabs>
      <w:ind w:right="360"/>
      <w:contextualSpacing w:val="0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tabs>
        <w:tab w:val="center" w:pos="4536"/>
        <w:tab w:val="right" w:pos="9072"/>
      </w:tabs>
      <w:contextualSpacing w:val="0"/>
      <w:jc w:val="both"/>
    </w:pPr>
    <w:r w:rsidRPr="00000000" w:rsidR="00000000" w:rsidDel="00000000">
      <w:drawing>
        <wp:inline distR="0" distT="0" distB="0" distL="0">
          <wp:extent cy="590550" cx="5753100"/>
          <wp:effectExtent t="0" b="0" r="0" l="0"/>
          <wp:docPr id="1" name="image01.jpg" descr="C:\Users\jitka.krasova\Desktop\esf_eu_oplzz_Červenápodpora_horizont_CMYK.jpg"/>
          <a:graphic>
            <a:graphicData uri="http://schemas.openxmlformats.org/drawingml/2006/picture">
              <pic:pic>
                <pic:nvPicPr>
                  <pic:cNvPr id="0" name="image01.jpg" descr="C:\Users\jitka.krasova\Desktop\esf_eu_oplzz_Červenápodpora_horizont_CMYK.jpg"/>
                  <pic:cNvPicPr preferRelativeResize="0"/>
                </pic:nvPicPr>
                <pic:blipFill>
                  <a:blip r:embed="rId1"/>
                  <a:srcRect t="0" b="0" r="0" l="0"/>
                  <a:stretch>
                    <a:fillRect/>
                  </a:stretch>
                </pic:blipFill>
                <pic:spPr>
                  <a:xfrm>
                    <a:off y="0" x="0"/>
                    <a:ext cy="590550" cx="5753100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R="00000000" w:rsidDel="00000000">
      <w:rPr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1080"/>
      </w:pPr>
      <w:rPr/>
    </w:lvl>
    <w:lvl w:ilvl="1">
      <w:start w:val="1"/>
      <w:numFmt w:val="lowerLetter"/>
      <w:lvlText w:val="%2."/>
      <w:lvlJc w:val="left"/>
      <w:pPr>
        <w:ind w:left="1440" w:firstLine="2520"/>
      </w:pPr>
      <w:rPr/>
    </w:lvl>
    <w:lvl w:ilvl="2">
      <w:start w:val="1"/>
      <w:numFmt w:val="lowerRoman"/>
      <w:lvlText w:val="%3."/>
      <w:lvlJc w:val="right"/>
      <w:pPr>
        <w:ind w:left="2160" w:firstLine="4140"/>
      </w:pPr>
      <w:rPr/>
    </w:lvl>
    <w:lvl w:ilvl="3">
      <w:start w:val="1"/>
      <w:numFmt w:val="decimal"/>
      <w:lvlText w:val="%4."/>
      <w:lvlJc w:val="left"/>
      <w:pPr>
        <w:ind w:left="2880" w:firstLine="5400"/>
      </w:pPr>
      <w:rPr/>
    </w:lvl>
    <w:lvl w:ilvl="4">
      <w:start w:val="1"/>
      <w:numFmt w:val="lowerLetter"/>
      <w:lvlText w:val="%5."/>
      <w:lvlJc w:val="left"/>
      <w:pPr>
        <w:ind w:left="3600" w:firstLine="6840"/>
      </w:pPr>
      <w:rPr/>
    </w:lvl>
    <w:lvl w:ilvl="5">
      <w:start w:val="1"/>
      <w:numFmt w:val="lowerRoman"/>
      <w:lvlText w:val="%6."/>
      <w:lvlJc w:val="right"/>
      <w:pPr>
        <w:ind w:left="4320" w:firstLine="8460"/>
      </w:pPr>
      <w:rPr/>
    </w:lvl>
    <w:lvl w:ilvl="6">
      <w:start w:val="1"/>
      <w:numFmt w:val="decimal"/>
      <w:lvlText w:val="%7."/>
      <w:lvlJc w:val="left"/>
      <w:pPr>
        <w:ind w:left="5040" w:firstLine="9720"/>
      </w:pPr>
      <w:rPr/>
    </w:lvl>
    <w:lvl w:ilvl="7">
      <w:start w:val="1"/>
      <w:numFmt w:val="lowerLetter"/>
      <w:lvlText w:val="%8."/>
      <w:lvlJc w:val="left"/>
      <w:pPr>
        <w:ind w:left="5760" w:firstLine="11160"/>
      </w:pPr>
      <w:rPr/>
    </w:lvl>
    <w:lvl w:ilvl="8">
      <w:start w:val="1"/>
      <w:numFmt w:val="lowerRoman"/>
      <w:lvlText w:val="%9."/>
      <w:lvlJc w:val="right"/>
      <w:pPr>
        <w:ind w:left="6480" w:firstLine="127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firstLine="1080"/>
      </w:pPr>
      <w:rPr/>
    </w:lvl>
    <w:lvl w:ilvl="1">
      <w:start w:val="1"/>
      <w:numFmt w:val="lowerLetter"/>
      <w:lvlText w:val="%2."/>
      <w:lvlJc w:val="left"/>
      <w:pPr>
        <w:ind w:left="1440" w:firstLine="2520"/>
      </w:pPr>
      <w:rPr/>
    </w:lvl>
    <w:lvl w:ilvl="2">
      <w:start w:val="1"/>
      <w:numFmt w:val="lowerRoman"/>
      <w:lvlText w:val="%3."/>
      <w:lvlJc w:val="right"/>
      <w:pPr>
        <w:ind w:left="2160" w:firstLine="4140"/>
      </w:pPr>
      <w:rPr/>
    </w:lvl>
    <w:lvl w:ilvl="3">
      <w:start w:val="1"/>
      <w:numFmt w:val="decimal"/>
      <w:lvlText w:val="%4."/>
      <w:lvlJc w:val="left"/>
      <w:pPr>
        <w:ind w:left="2880" w:firstLine="5400"/>
      </w:pPr>
      <w:rPr/>
    </w:lvl>
    <w:lvl w:ilvl="4">
      <w:start w:val="1"/>
      <w:numFmt w:val="lowerLetter"/>
      <w:lvlText w:val="%5."/>
      <w:lvlJc w:val="left"/>
      <w:pPr>
        <w:ind w:left="3600" w:firstLine="6840"/>
      </w:pPr>
      <w:rPr/>
    </w:lvl>
    <w:lvl w:ilvl="5">
      <w:start w:val="1"/>
      <w:numFmt w:val="lowerRoman"/>
      <w:lvlText w:val="%6."/>
      <w:lvlJc w:val="right"/>
      <w:pPr>
        <w:ind w:left="4320" w:firstLine="8460"/>
      </w:pPr>
      <w:rPr/>
    </w:lvl>
    <w:lvl w:ilvl="6">
      <w:start w:val="1"/>
      <w:numFmt w:val="decimal"/>
      <w:lvlText w:val="%7."/>
      <w:lvlJc w:val="left"/>
      <w:pPr>
        <w:ind w:left="5040" w:firstLine="9720"/>
      </w:pPr>
      <w:rPr/>
    </w:lvl>
    <w:lvl w:ilvl="7">
      <w:start w:val="1"/>
      <w:numFmt w:val="lowerLetter"/>
      <w:lvlText w:val="%8."/>
      <w:lvlJc w:val="left"/>
      <w:pPr>
        <w:ind w:left="5760" w:firstLine="11160"/>
      </w:pPr>
      <w:rPr/>
    </w:lvl>
    <w:lvl w:ilvl="8">
      <w:start w:val="1"/>
      <w:numFmt w:val="lowerRoman"/>
      <w:lvlText w:val="%9."/>
      <w:lvlJc w:val="right"/>
      <w:pPr>
        <w:ind w:left="6480" w:firstLine="127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firstLine="108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2520"/>
      </w:pPr>
      <w:rPr/>
    </w:lvl>
    <w:lvl w:ilvl="2">
      <w:start w:val="1"/>
      <w:numFmt w:val="lowerRoman"/>
      <w:lvlText w:val="%3."/>
      <w:lvlJc w:val="right"/>
      <w:pPr>
        <w:ind w:left="2160" w:firstLine="4140"/>
      </w:pPr>
      <w:rPr/>
    </w:lvl>
    <w:lvl w:ilvl="3">
      <w:start w:val="1"/>
      <w:numFmt w:val="decimal"/>
      <w:lvlText w:val="%4."/>
      <w:lvlJc w:val="left"/>
      <w:pPr>
        <w:ind w:left="2880" w:firstLine="5400"/>
      </w:pPr>
      <w:rPr/>
    </w:lvl>
    <w:lvl w:ilvl="4">
      <w:start w:val="1"/>
      <w:numFmt w:val="lowerLetter"/>
      <w:lvlText w:val="%5."/>
      <w:lvlJc w:val="left"/>
      <w:pPr>
        <w:ind w:left="3600" w:firstLine="6840"/>
      </w:pPr>
      <w:rPr/>
    </w:lvl>
    <w:lvl w:ilvl="5">
      <w:start w:val="1"/>
      <w:numFmt w:val="lowerRoman"/>
      <w:lvlText w:val="%6."/>
      <w:lvlJc w:val="right"/>
      <w:pPr>
        <w:ind w:left="4320" w:firstLine="8460"/>
      </w:pPr>
      <w:rPr/>
    </w:lvl>
    <w:lvl w:ilvl="6">
      <w:start w:val="1"/>
      <w:numFmt w:val="decimal"/>
      <w:lvlText w:val="%7."/>
      <w:lvlJc w:val="left"/>
      <w:pPr>
        <w:ind w:left="5040" w:firstLine="9720"/>
      </w:pPr>
      <w:rPr/>
    </w:lvl>
    <w:lvl w:ilvl="7">
      <w:start w:val="1"/>
      <w:numFmt w:val="lowerLetter"/>
      <w:lvlText w:val="%8."/>
      <w:lvlJc w:val="left"/>
      <w:pPr>
        <w:ind w:left="5760" w:firstLine="11160"/>
      </w:pPr>
      <w:rPr/>
    </w:lvl>
    <w:lvl w:ilvl="8">
      <w:start w:val="1"/>
      <w:numFmt w:val="lowerRoman"/>
      <w:lvlText w:val="%9."/>
      <w:lvlJc w:val="right"/>
      <w:pPr>
        <w:ind w:left="6480" w:firstLine="127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firstLine="1080"/>
      </w:pPr>
      <w:rPr/>
    </w:lvl>
    <w:lvl w:ilvl="1">
      <w:start w:val="1"/>
      <w:numFmt w:val="lowerLetter"/>
      <w:lvlText w:val="%2."/>
      <w:lvlJc w:val="left"/>
      <w:pPr>
        <w:ind w:left="1440" w:firstLine="2520"/>
      </w:pPr>
      <w:rPr/>
    </w:lvl>
    <w:lvl w:ilvl="2">
      <w:start w:val="1"/>
      <w:numFmt w:val="lowerRoman"/>
      <w:lvlText w:val="%3."/>
      <w:lvlJc w:val="right"/>
      <w:pPr>
        <w:ind w:left="2160" w:firstLine="4140"/>
      </w:pPr>
      <w:rPr/>
    </w:lvl>
    <w:lvl w:ilvl="3">
      <w:start w:val="1"/>
      <w:numFmt w:val="decimal"/>
      <w:lvlText w:val="%4."/>
      <w:lvlJc w:val="left"/>
      <w:pPr>
        <w:ind w:left="2880" w:firstLine="5400"/>
      </w:pPr>
      <w:rPr/>
    </w:lvl>
    <w:lvl w:ilvl="4">
      <w:start w:val="1"/>
      <w:numFmt w:val="lowerLetter"/>
      <w:lvlText w:val="%5."/>
      <w:lvlJc w:val="left"/>
      <w:pPr>
        <w:ind w:left="3600" w:firstLine="6840"/>
      </w:pPr>
      <w:rPr/>
    </w:lvl>
    <w:lvl w:ilvl="5">
      <w:start w:val="1"/>
      <w:numFmt w:val="lowerRoman"/>
      <w:lvlText w:val="%6."/>
      <w:lvlJc w:val="right"/>
      <w:pPr>
        <w:ind w:left="4320" w:firstLine="8460"/>
      </w:pPr>
      <w:rPr/>
    </w:lvl>
    <w:lvl w:ilvl="6">
      <w:start w:val="1"/>
      <w:numFmt w:val="decimal"/>
      <w:lvlText w:val="%7."/>
      <w:lvlJc w:val="left"/>
      <w:pPr>
        <w:ind w:left="5040" w:firstLine="9720"/>
      </w:pPr>
      <w:rPr/>
    </w:lvl>
    <w:lvl w:ilvl="7">
      <w:start w:val="1"/>
      <w:numFmt w:val="lowerLetter"/>
      <w:lvlText w:val="%8."/>
      <w:lvlJc w:val="left"/>
      <w:pPr>
        <w:ind w:left="5760" w:firstLine="11160"/>
      </w:pPr>
      <w:rPr/>
    </w:lvl>
    <w:lvl w:ilvl="8">
      <w:start w:val="1"/>
      <w:numFmt w:val="lowerRoman"/>
      <w:lvlText w:val="%9."/>
      <w:lvlJc w:val="right"/>
      <w:pPr>
        <w:ind w:left="6480" w:firstLine="12780"/>
      </w:pPr>
      <w:rPr/>
    </w:lvl>
  </w:abstractNum>
  <w:abstractNum w:abstractNumId="5"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1080"/>
      </w:pPr>
      <w:rPr/>
    </w:lvl>
    <w:lvl w:ilvl="1">
      <w:start w:val="1"/>
      <w:numFmt w:val="lowerLetter"/>
      <w:lvlText w:val="%2."/>
      <w:lvlJc w:val="left"/>
      <w:pPr>
        <w:ind w:left="1440" w:firstLine="2520"/>
      </w:pPr>
      <w:rPr/>
    </w:lvl>
    <w:lvl w:ilvl="2">
      <w:start w:val="1"/>
      <w:numFmt w:val="lowerRoman"/>
      <w:lvlText w:val="%3."/>
      <w:lvlJc w:val="right"/>
      <w:pPr>
        <w:ind w:left="2160" w:firstLine="4140"/>
      </w:pPr>
      <w:rPr/>
    </w:lvl>
    <w:lvl w:ilvl="3">
      <w:start w:val="1"/>
      <w:numFmt w:val="decimal"/>
      <w:lvlText w:val="%4."/>
      <w:lvlJc w:val="left"/>
      <w:pPr>
        <w:ind w:left="2880" w:firstLine="5400"/>
      </w:pPr>
      <w:rPr/>
    </w:lvl>
    <w:lvl w:ilvl="4">
      <w:start w:val="1"/>
      <w:numFmt w:val="lowerLetter"/>
      <w:lvlText w:val="%5."/>
      <w:lvlJc w:val="left"/>
      <w:pPr>
        <w:ind w:left="3600" w:firstLine="6840"/>
      </w:pPr>
      <w:rPr/>
    </w:lvl>
    <w:lvl w:ilvl="5">
      <w:start w:val="1"/>
      <w:numFmt w:val="lowerRoman"/>
      <w:lvlText w:val="%6."/>
      <w:lvlJc w:val="right"/>
      <w:pPr>
        <w:ind w:left="4320" w:firstLine="8460"/>
      </w:pPr>
      <w:rPr/>
    </w:lvl>
    <w:lvl w:ilvl="6">
      <w:start w:val="1"/>
      <w:numFmt w:val="decimal"/>
      <w:lvlText w:val="%7."/>
      <w:lvlJc w:val="left"/>
      <w:pPr>
        <w:ind w:left="5040" w:firstLine="9720"/>
      </w:pPr>
      <w:rPr/>
    </w:lvl>
    <w:lvl w:ilvl="7">
      <w:start w:val="1"/>
      <w:numFmt w:val="lowerLetter"/>
      <w:lvlText w:val="%8."/>
      <w:lvlJc w:val="left"/>
      <w:pPr>
        <w:ind w:left="5760" w:firstLine="11160"/>
      </w:pPr>
      <w:rPr/>
    </w:lvl>
    <w:lvl w:ilvl="8">
      <w:start w:val="1"/>
      <w:numFmt w:val="lowerRoman"/>
      <w:lvlText w:val="%9."/>
      <w:lvlJc w:val="right"/>
      <w:pPr>
        <w:ind w:left="6480" w:firstLine="127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firstLine="1080"/>
      </w:pPr>
      <w:rPr/>
    </w:lvl>
    <w:lvl w:ilvl="1">
      <w:start w:val="1"/>
      <w:numFmt w:val="lowerLetter"/>
      <w:lvlText w:val="%2."/>
      <w:lvlJc w:val="left"/>
      <w:pPr>
        <w:ind w:left="1440" w:firstLine="2520"/>
      </w:pPr>
      <w:rPr/>
    </w:lvl>
    <w:lvl w:ilvl="2">
      <w:start w:val="1"/>
      <w:numFmt w:val="lowerRoman"/>
      <w:lvlText w:val="%3."/>
      <w:lvlJc w:val="right"/>
      <w:pPr>
        <w:ind w:left="2160" w:firstLine="4140"/>
      </w:pPr>
      <w:rPr/>
    </w:lvl>
    <w:lvl w:ilvl="3">
      <w:start w:val="1"/>
      <w:numFmt w:val="decimal"/>
      <w:lvlText w:val="%4."/>
      <w:lvlJc w:val="left"/>
      <w:pPr>
        <w:ind w:left="2880" w:firstLine="5400"/>
      </w:pPr>
      <w:rPr/>
    </w:lvl>
    <w:lvl w:ilvl="4">
      <w:start w:val="1"/>
      <w:numFmt w:val="lowerLetter"/>
      <w:lvlText w:val="%5."/>
      <w:lvlJc w:val="left"/>
      <w:pPr>
        <w:ind w:left="3600" w:firstLine="6840"/>
      </w:pPr>
      <w:rPr/>
    </w:lvl>
    <w:lvl w:ilvl="5">
      <w:start w:val="1"/>
      <w:numFmt w:val="lowerRoman"/>
      <w:lvlText w:val="%6."/>
      <w:lvlJc w:val="right"/>
      <w:pPr>
        <w:ind w:left="4320" w:firstLine="8460"/>
      </w:pPr>
      <w:rPr/>
    </w:lvl>
    <w:lvl w:ilvl="6">
      <w:start w:val="1"/>
      <w:numFmt w:val="decimal"/>
      <w:lvlText w:val="%7."/>
      <w:lvlJc w:val="left"/>
      <w:pPr>
        <w:ind w:left="5040" w:firstLine="9720"/>
      </w:pPr>
      <w:rPr/>
    </w:lvl>
    <w:lvl w:ilvl="7">
      <w:start w:val="1"/>
      <w:numFmt w:val="lowerLetter"/>
      <w:lvlText w:val="%8."/>
      <w:lvlJc w:val="left"/>
      <w:pPr>
        <w:ind w:left="5760" w:firstLine="11160"/>
      </w:pPr>
      <w:rPr/>
    </w:lvl>
    <w:lvl w:ilvl="8">
      <w:start w:val="1"/>
      <w:numFmt w:val="lowerRoman"/>
      <w:lvlText w:val="%9."/>
      <w:lvlJc w:val="right"/>
      <w:pPr>
        <w:ind w:left="6480" w:firstLine="127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firstLine="108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2520"/>
      </w:pPr>
      <w:rPr/>
    </w:lvl>
    <w:lvl w:ilvl="2">
      <w:start w:val="1"/>
      <w:numFmt w:val="lowerRoman"/>
      <w:lvlText w:val="%3."/>
      <w:lvlJc w:val="right"/>
      <w:pPr>
        <w:ind w:left="2160" w:firstLine="4140"/>
      </w:pPr>
      <w:rPr/>
    </w:lvl>
    <w:lvl w:ilvl="3">
      <w:start w:val="1"/>
      <w:numFmt w:val="decimal"/>
      <w:lvlText w:val="%4."/>
      <w:lvlJc w:val="left"/>
      <w:pPr>
        <w:ind w:left="2880" w:firstLine="5400"/>
      </w:pPr>
      <w:rPr/>
    </w:lvl>
    <w:lvl w:ilvl="4">
      <w:start w:val="1"/>
      <w:numFmt w:val="lowerLetter"/>
      <w:lvlText w:val="%5."/>
      <w:lvlJc w:val="left"/>
      <w:pPr>
        <w:ind w:left="3600" w:firstLine="6840"/>
      </w:pPr>
      <w:rPr/>
    </w:lvl>
    <w:lvl w:ilvl="5">
      <w:start w:val="1"/>
      <w:numFmt w:val="lowerRoman"/>
      <w:lvlText w:val="%6."/>
      <w:lvlJc w:val="right"/>
      <w:pPr>
        <w:ind w:left="4320" w:firstLine="8460"/>
      </w:pPr>
      <w:rPr/>
    </w:lvl>
    <w:lvl w:ilvl="6">
      <w:start w:val="1"/>
      <w:numFmt w:val="decimal"/>
      <w:lvlText w:val="%7."/>
      <w:lvlJc w:val="left"/>
      <w:pPr>
        <w:ind w:left="5040" w:firstLine="9720"/>
      </w:pPr>
      <w:rPr/>
    </w:lvl>
    <w:lvl w:ilvl="7">
      <w:start w:val="1"/>
      <w:numFmt w:val="lowerLetter"/>
      <w:lvlText w:val="%8."/>
      <w:lvlJc w:val="left"/>
      <w:pPr>
        <w:ind w:left="5760" w:firstLine="11160"/>
      </w:pPr>
      <w:rPr/>
    </w:lvl>
    <w:lvl w:ilvl="8">
      <w:start w:val="1"/>
      <w:numFmt w:val="lowerRoman"/>
      <w:lvlText w:val="%9."/>
      <w:lvlJc w:val="right"/>
      <w:pPr>
        <w:ind w:left="6480" w:firstLine="127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firstLine="1080"/>
      </w:pPr>
      <w:rPr/>
    </w:lvl>
    <w:lvl w:ilvl="1">
      <w:start w:val="1"/>
      <w:numFmt w:val="lowerLetter"/>
      <w:lvlText w:val="%2."/>
      <w:lvlJc w:val="left"/>
      <w:pPr>
        <w:ind w:left="1440" w:firstLine="2520"/>
      </w:pPr>
      <w:rPr/>
    </w:lvl>
    <w:lvl w:ilvl="2">
      <w:start w:val="1"/>
      <w:numFmt w:val="lowerRoman"/>
      <w:lvlText w:val="%3."/>
      <w:lvlJc w:val="right"/>
      <w:pPr>
        <w:ind w:left="2160" w:firstLine="4140"/>
      </w:pPr>
      <w:rPr/>
    </w:lvl>
    <w:lvl w:ilvl="3">
      <w:start w:val="1"/>
      <w:numFmt w:val="decimal"/>
      <w:lvlText w:val="%4."/>
      <w:lvlJc w:val="left"/>
      <w:pPr>
        <w:ind w:left="2880" w:firstLine="5400"/>
      </w:pPr>
      <w:rPr/>
    </w:lvl>
    <w:lvl w:ilvl="4">
      <w:start w:val="1"/>
      <w:numFmt w:val="lowerLetter"/>
      <w:lvlText w:val="%5."/>
      <w:lvlJc w:val="left"/>
      <w:pPr>
        <w:ind w:left="3600" w:firstLine="6840"/>
      </w:pPr>
      <w:rPr/>
    </w:lvl>
    <w:lvl w:ilvl="5">
      <w:start w:val="1"/>
      <w:numFmt w:val="lowerRoman"/>
      <w:lvlText w:val="%6."/>
      <w:lvlJc w:val="right"/>
      <w:pPr>
        <w:ind w:left="4320" w:firstLine="8460"/>
      </w:pPr>
      <w:rPr/>
    </w:lvl>
    <w:lvl w:ilvl="6">
      <w:start w:val="1"/>
      <w:numFmt w:val="decimal"/>
      <w:lvlText w:val="%7."/>
      <w:lvlJc w:val="left"/>
      <w:pPr>
        <w:ind w:left="5040" w:firstLine="9720"/>
      </w:pPr>
      <w:rPr/>
    </w:lvl>
    <w:lvl w:ilvl="7">
      <w:start w:val="1"/>
      <w:numFmt w:val="lowerLetter"/>
      <w:lvlText w:val="%8."/>
      <w:lvlJc w:val="left"/>
      <w:pPr>
        <w:ind w:left="5760" w:firstLine="11160"/>
      </w:pPr>
      <w:rPr/>
    </w:lvl>
    <w:lvl w:ilvl="8">
      <w:start w:val="1"/>
      <w:numFmt w:val="lowerRoman"/>
      <w:lvlText w:val="%9."/>
      <w:lvlJc w:val="right"/>
      <w:pPr>
        <w:ind w:left="6480" w:firstLine="127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40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line="240" w:before="480"/>
    </w:pPr>
    <w:rPr>
      <w:rFonts w:cs="Times New Roman" w:hAnsi="Times New Roman" w:eastAsia="Times New Roman" w:ascii="Times New Roman"/>
      <w:b w:val="1"/>
      <w:color w:val="000000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line="240" w:before="360"/>
    </w:pPr>
    <w:rPr>
      <w:rFonts w:cs="Times New Roman" w:hAnsi="Times New Roman" w:eastAsia="Times New Roman" w:ascii="Times New Roman"/>
      <w:b w:val="1"/>
      <w:color w:val="000000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line="240" w:before="280"/>
    </w:pPr>
    <w:rPr>
      <w:rFonts w:cs="Times New Roman" w:hAnsi="Times New Roman" w:eastAsia="Times New Roman" w:ascii="Times New Roman"/>
      <w:b w:val="1"/>
      <w:color w:val="000000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line="240" w:before="240"/>
    </w:pPr>
    <w:rPr>
      <w:rFonts w:cs="Times New Roman" w:hAnsi="Times New Roman" w:eastAsia="Times New Roman" w:ascii="Times New Roman"/>
      <w:b w:val="1"/>
      <w:color w:val="000000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line="240" w:before="220"/>
    </w:pPr>
    <w:rPr>
      <w:rFonts w:cs="Times New Roman" w:hAnsi="Times New Roman" w:eastAsia="Times New Roman" w:ascii="Times New Roman"/>
      <w:b w:val="1"/>
      <w:color w:val="000000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line="240" w:before="200"/>
    </w:pPr>
    <w:rPr>
      <w:rFonts w:cs="Times New Roman" w:hAnsi="Times New Roman" w:eastAsia="Times New Roman" w:ascii="Times New Roman"/>
      <w:b w:val="1"/>
      <w:color w:val="000000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line="240" w:before="480"/>
    </w:pPr>
    <w:rPr>
      <w:rFonts w:cs="Times New Roman" w:hAnsi="Times New Roman" w:eastAsia="Times New Roman" w:ascii="Times New Roman"/>
      <w:b w:val="1"/>
      <w:color w:val="000000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line="240" w:before="360"/>
    </w:pPr>
    <w:rPr>
      <w:rFonts w:cs="Georgia" w:hAnsi="Georgia" w:eastAsia="Georgia" w:ascii="Georgia"/>
      <w:b w:val="0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word/_rels/header1.xml.rels><?xml version="1.0" encoding="UTF-8" standalone="yes"?><Relationships xmlns="http://schemas.openxmlformats.org/package/2006/relationships"><Relationship Target="media/image01.jpg" Type="http://schemas.openxmlformats.org/officeDocument/2006/relationships/image" Id="rId1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Návrh kupní smlouvy.docx</dc:title>
</cp:coreProperties>
</file>