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914C9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914C96" w:rsidP="00914C96" w:rsidRDefault="00914C9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Hořicko“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914C9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914C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914C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914C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914C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914C9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914C9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914C9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4E2393"/>
    <w:rsid w:val="00550836"/>
    <w:rsid w:val="00775994"/>
    <w:rsid w:val="00914C96"/>
    <w:rsid w:val="00A424B9"/>
    <w:rsid w:val="00BE67E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0" type="connector" idref="#Přímá spojnice se šipkou 7"/>
        <o:r id="V:Rule11" type="connector" idref="#Přímá spojnice se šipkou 8"/>
        <o:r id="V:Rule12" type="connector" idref="#Přímá spojnice se šipkou 4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Přímá spojnice se šipkou 5"/>
        <o:r id="V:Rule17" type="connector" idref="#Přímá spojnice se šipkou 6"/>
        <o:r id="V:Rule18" type="connector" idref="#Přímá spojnice se šipkou 9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761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798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25112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1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153</properties:Words>
  <properties:Characters>904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2014-11-12T21:04:00Z</dcterms:modified>
  <cp:revision>9</cp:revision>
</cp:coreProperties>
</file>