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r w:rsidRPr="006D07AD" w:rsidR="006D07AD">
        <w:rPr>
          <w:rFonts w:ascii="Arial" w:hAnsi="Arial" w:cs="Arial"/>
          <w:b/>
          <w:sz w:val="24"/>
          <w:szCs w:val="24"/>
        </w:rPr>
        <w:t>Vision nástroje strojního vidění Cognex</w:t>
      </w:r>
      <w:bookmarkStart w:name="_GoBack" w:id="0"/>
      <w:bookmarkEnd w:id="0"/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517D53"/>
    <w:rsid w:val="005F4E9A"/>
    <w:rsid w:val="00610FAB"/>
    <w:rsid w:val="006D07AD"/>
    <w:rsid w:val="009644C5"/>
    <w:rsid w:val="009E21E9"/>
    <w:rsid w:val="00C41608"/>
    <w:rsid w:val="00C5684B"/>
    <w:rsid w:val="00CD4F16"/>
    <w:rsid w:val="00DF1B0A"/>
    <w:rsid w:val="00F14E38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96EB985-FC01-4C90-88C9-B03546C0815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109</properties:Words>
  <properties:Characters>732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840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2015-07-03T10:05:00Z</dcterms:modified>
  <cp:revision>6</cp:revision>
  <dc:subject/>
  <dc:title> </dc:title>
</cp:coreProperties>
</file>