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212EFB" w:rsidR="0086451C" w:rsidP="0086451C" w:rsidRDefault="0086451C">
      <w:pPr>
        <w:jc w:val="both"/>
        <w:rPr>
          <w:b/>
          <w:bCs/>
          <w:sz w:val="32"/>
          <w:szCs w:val="32"/>
        </w:rPr>
      </w:pPr>
      <w:r w:rsidRPr="00212EFB">
        <w:rPr>
          <w:b/>
          <w:bCs/>
          <w:sz w:val="32"/>
          <w:szCs w:val="32"/>
        </w:rPr>
        <w:t>Vzdělávacím zařízením</w:t>
      </w:r>
    </w:p>
    <w:p w:rsidR="0086451C" w:rsidP="0086451C" w:rsidRDefault="0086451C">
      <w:pPr>
        <w:jc w:val="both"/>
        <w:rPr>
          <w:bCs/>
        </w:rPr>
      </w:pPr>
      <w:r w:rsidRPr="00212EFB">
        <w:rPr>
          <w:bCs/>
        </w:rPr>
        <w:t xml:space="preserve">V Olomouci dne </w:t>
      </w:r>
      <w:r>
        <w:rPr>
          <w:bCs/>
        </w:rPr>
        <w:t>13. dubna 2015</w:t>
      </w:r>
    </w:p>
    <w:p w:rsidR="0086451C" w:rsidP="0086451C" w:rsidRDefault="0086451C">
      <w:pPr>
        <w:jc w:val="both"/>
        <w:rPr>
          <w:b/>
          <w:bCs/>
        </w:rPr>
      </w:pPr>
    </w:p>
    <w:p w:rsidR="0086451C" w:rsidP="0086451C" w:rsidRDefault="0086451C">
      <w:pPr>
        <w:outlineLvl w:val="0"/>
        <w:rPr>
          <w:b/>
          <w:bCs/>
        </w:rPr>
      </w:pPr>
    </w:p>
    <w:p w:rsidR="0086451C" w:rsidP="0086451C" w:rsidRDefault="0086451C">
      <w:pPr>
        <w:outlineLvl w:val="0"/>
        <w:rPr>
          <w:b/>
          <w:sz w:val="32"/>
          <w:szCs w:val="32"/>
          <w:u w:val="single"/>
        </w:rPr>
      </w:pPr>
      <w:r w:rsidRPr="00E16074">
        <w:rPr>
          <w:b/>
          <w:bCs/>
          <w:sz w:val="32"/>
          <w:szCs w:val="32"/>
        </w:rPr>
        <w:t xml:space="preserve">     </w:t>
      </w:r>
      <w:r w:rsidRPr="00E16074">
        <w:rPr>
          <w:b/>
          <w:bCs/>
          <w:sz w:val="32"/>
          <w:szCs w:val="32"/>
          <w:u w:val="single"/>
        </w:rPr>
        <w:t>V</w:t>
      </w:r>
      <w:r w:rsidRPr="00E16074">
        <w:rPr>
          <w:b/>
          <w:color w:val="000000"/>
          <w:sz w:val="32"/>
          <w:szCs w:val="32"/>
          <w:u w:val="single"/>
        </w:rPr>
        <w:t>ýzva č. 3 /2015</w:t>
      </w:r>
      <w:r w:rsidRPr="00FE1771">
        <w:rPr>
          <w:b/>
          <w:color w:val="000000"/>
          <w:sz w:val="32"/>
          <w:szCs w:val="32"/>
          <w:u w:val="single"/>
        </w:rPr>
        <w:t xml:space="preserve"> k podání nabídky</w:t>
      </w:r>
      <w:r w:rsidRPr="00FE1771">
        <w:rPr>
          <w:b/>
          <w:sz w:val="32"/>
          <w:szCs w:val="32"/>
          <w:u w:val="single"/>
        </w:rPr>
        <w:t xml:space="preserve"> na zabezpečení rekvalifikace </w:t>
      </w:r>
    </w:p>
    <w:p w:rsidRPr="00FE1771" w:rsidR="0086451C" w:rsidP="0086451C" w:rsidRDefault="0086451C">
      <w:pPr>
        <w:jc w:val="center"/>
        <w:outlineLvl w:val="0"/>
        <w:rPr>
          <w:b/>
          <w:sz w:val="32"/>
          <w:szCs w:val="32"/>
          <w:u w:val="single"/>
        </w:rPr>
      </w:pPr>
      <w:r>
        <w:rPr>
          <w:b/>
          <w:sz w:val="32"/>
          <w:szCs w:val="32"/>
          <w:u w:val="single"/>
        </w:rPr>
        <w:t>„Bourání masa 29-021-H</w:t>
      </w:r>
      <w:r w:rsidRPr="00FE1771">
        <w:rPr>
          <w:b/>
          <w:sz w:val="32"/>
          <w:szCs w:val="32"/>
          <w:u w:val="single"/>
        </w:rPr>
        <w:t>“</w:t>
      </w:r>
    </w:p>
    <w:p w:rsidR="0086451C" w:rsidP="0086451C" w:rsidRDefault="0086451C">
      <w:pPr>
        <w:jc w:val="center"/>
        <w:outlineLvl w:val="0"/>
        <w:rPr>
          <w:rFonts w:cstheme="minorHAnsi"/>
          <w:b/>
          <w:u w:val="single"/>
        </w:rPr>
      </w:pPr>
    </w:p>
    <w:p w:rsidRPr="00E36338" w:rsidR="0086451C" w:rsidP="0086451C" w:rsidRDefault="0086451C">
      <w:pPr>
        <w:jc w:val="center"/>
        <w:outlineLvl w:val="0"/>
        <w:rPr>
          <w:rFonts w:cstheme="minorHAnsi"/>
          <w:b/>
          <w:u w:val="single"/>
        </w:rPr>
      </w:pPr>
    </w:p>
    <w:p w:rsidR="0086451C" w:rsidP="0086451C" w:rsidRDefault="0086451C">
      <w:pPr>
        <w:jc w:val="both"/>
        <w:outlineLvl w:val="0"/>
        <w:rPr>
          <w:rFonts w:cstheme="minorHAnsi"/>
        </w:rPr>
      </w:pPr>
      <w:r w:rsidRPr="001A4BC8">
        <w:rPr>
          <w:rFonts w:cstheme="minorHAnsi"/>
        </w:rPr>
        <w:t>Za účelem zadání zakázky malého rozsahu ve smyslu zák. č. 137/2006 Sb., o veřejných zakázkách,</w:t>
      </w:r>
      <w:r>
        <w:rPr>
          <w:rFonts w:cstheme="minorHAnsi"/>
        </w:rPr>
        <w:t xml:space="preserve"> </w:t>
      </w:r>
      <w:r>
        <w:rPr>
          <w:rFonts w:cstheme="minorHAnsi"/>
        </w:rPr>
        <w:br/>
      </w:r>
      <w:r w:rsidRPr="001A4BC8">
        <w:rPr>
          <w:rFonts w:cstheme="minorHAnsi"/>
        </w:rPr>
        <w:t>v</w:t>
      </w:r>
      <w:r>
        <w:rPr>
          <w:rFonts w:cstheme="minorHAnsi"/>
        </w:rPr>
        <w:t xml:space="preserve">e znění pozdějších předpisů </w:t>
      </w:r>
      <w:r w:rsidRPr="001A4BC8">
        <w:rPr>
          <w:rFonts w:cstheme="minorHAnsi"/>
        </w:rPr>
        <w:t>(nejedná</w:t>
      </w:r>
      <w:r>
        <w:rPr>
          <w:rFonts w:cstheme="minorHAnsi"/>
        </w:rPr>
        <w:t xml:space="preserve"> </w:t>
      </w:r>
      <w:r w:rsidRPr="001A4BC8">
        <w:rPr>
          <w:rFonts w:cstheme="minorHAnsi"/>
        </w:rPr>
        <w:t>se</w:t>
      </w:r>
      <w:r>
        <w:rPr>
          <w:rFonts w:cstheme="minorHAnsi"/>
        </w:rPr>
        <w:t xml:space="preserve"> </w:t>
      </w:r>
      <w:r w:rsidRPr="001A4BC8">
        <w:rPr>
          <w:rFonts w:cstheme="minorHAnsi"/>
        </w:rPr>
        <w:t>o zadávací řízení podle zákona č. 137/2</w:t>
      </w:r>
      <w:r>
        <w:rPr>
          <w:rFonts w:cstheme="minorHAnsi"/>
        </w:rPr>
        <w:t xml:space="preserve">006 Sb., </w:t>
      </w:r>
      <w:r>
        <w:rPr>
          <w:rFonts w:cstheme="minorHAnsi"/>
        </w:rPr>
        <w:br/>
        <w:t xml:space="preserve">o veřejných zakázkách) </w:t>
      </w:r>
      <w:r w:rsidRPr="001A4BC8">
        <w:rPr>
          <w:rFonts w:cstheme="minorHAnsi"/>
        </w:rPr>
        <w:t>je tato veřejná zakázka vyhlašována v souladu s</w:t>
      </w:r>
      <w:r>
        <w:rPr>
          <w:rFonts w:cstheme="minorHAnsi"/>
        </w:rPr>
        <w:t xml:space="preserve">e Směrnicí generální ředitelky č. 17/2013 </w:t>
      </w:r>
      <w:r w:rsidRPr="001A4BC8">
        <w:rPr>
          <w:rFonts w:cstheme="minorHAnsi"/>
        </w:rPr>
        <w:t>Zásady pro zadávání veřejných zakázek, uzavírání smluv a používání přímých objednávek na ÚP ČR ve smyslu zákona č. 137/2006 Sb., o veřejných zakázkách, ve znění pozdějších předpisů</w:t>
      </w:r>
      <w:r>
        <w:rPr>
          <w:rFonts w:cstheme="minorHAnsi"/>
        </w:rPr>
        <w:t xml:space="preserve">, </w:t>
      </w:r>
      <w:r>
        <w:rPr>
          <w:rFonts w:cstheme="minorHAnsi"/>
        </w:rPr>
        <w:br/>
        <w:t xml:space="preserve">ve znění </w:t>
      </w:r>
      <w:r w:rsidRPr="001A4BC8">
        <w:rPr>
          <w:rFonts w:cstheme="minorHAnsi"/>
        </w:rPr>
        <w:t> Dodatk</w:t>
      </w:r>
      <w:r>
        <w:rPr>
          <w:rFonts w:cstheme="minorHAnsi"/>
        </w:rPr>
        <w:t xml:space="preserve">u č. </w:t>
      </w:r>
      <w:r w:rsidRPr="001A4BC8">
        <w:rPr>
          <w:rFonts w:cstheme="minorHAnsi"/>
        </w:rPr>
        <w:t>1</w:t>
      </w:r>
      <w:r>
        <w:rPr>
          <w:rFonts w:cstheme="minorHAnsi"/>
        </w:rPr>
        <w:t xml:space="preserve"> a 2,</w:t>
      </w:r>
      <w:r w:rsidRPr="001A4BC8">
        <w:rPr>
          <w:rFonts w:cstheme="minorHAnsi"/>
        </w:rPr>
        <w:t xml:space="preserve"> </w:t>
      </w:r>
      <w:r>
        <w:rPr>
          <w:rFonts w:cstheme="minorHAnsi"/>
        </w:rPr>
        <w:t>v souladu se Směrnicí generálního ředitele č. 16/2011 Zadávání veřejných zakázek k zabezpečení rekvalifikací, poradenských činností a pracovní rehabilitace Úřadem práce ČR</w:t>
      </w:r>
      <w:r w:rsidRPr="001A4BC8">
        <w:rPr>
          <w:rFonts w:cstheme="minorHAnsi"/>
        </w:rPr>
        <w:t xml:space="preserve"> </w:t>
      </w:r>
      <w:r>
        <w:rPr>
          <w:rFonts w:cstheme="minorHAnsi"/>
        </w:rPr>
        <w:br/>
      </w:r>
      <w:r w:rsidRPr="001A4BC8">
        <w:rPr>
          <w:rFonts w:cstheme="minorHAnsi"/>
        </w:rPr>
        <w:t xml:space="preserve">a v souladu s Metodickým pokynem pro zadávání zakázek OP LZZ MAD 99, verze </w:t>
      </w:r>
      <w:r>
        <w:rPr>
          <w:rFonts w:cstheme="minorHAnsi"/>
        </w:rPr>
        <w:t>2.0. revize č. 1</w:t>
      </w:r>
      <w:r w:rsidRPr="001A4BC8">
        <w:rPr>
          <w:rFonts w:cstheme="minorHAnsi"/>
        </w:rPr>
        <w:t xml:space="preserve">1. </w:t>
      </w:r>
    </w:p>
    <w:p w:rsidR="0086451C" w:rsidP="0086451C" w:rsidRDefault="0086451C">
      <w:pPr>
        <w:spacing w:before="120"/>
        <w:jc w:val="center"/>
        <w:outlineLvl w:val="0"/>
        <w:rPr>
          <w:rFonts w:cstheme="minorHAnsi"/>
        </w:rPr>
      </w:pPr>
      <w:r w:rsidRPr="00B50F22">
        <w:rPr>
          <w:rFonts w:cstheme="minorHAnsi"/>
          <w:b/>
        </w:rPr>
        <w:t>Tímto Vás vyzývám k podání nabídky na výše uvedenou veřejnou zakázku na služby – zabezpečení rekvalifikace „Bourání masa 29-021-H“</w:t>
      </w:r>
      <w:r w:rsidRPr="001A4BC8">
        <w:rPr>
          <w:rFonts w:cstheme="minorHAnsi"/>
        </w:rPr>
        <w:t>.</w:t>
      </w:r>
    </w:p>
    <w:p w:rsidR="0086451C" w:rsidP="0086451C" w:rsidRDefault="0086451C">
      <w:pPr>
        <w:jc w:val="both"/>
        <w:outlineLvl w:val="0"/>
        <w:rPr>
          <w:rFonts w:cstheme="minorHAnsi"/>
        </w:rPr>
      </w:pPr>
    </w:p>
    <w:p w:rsidRPr="001A4BC8" w:rsidR="0086451C" w:rsidP="0086451C" w:rsidRDefault="0086451C">
      <w:pPr>
        <w:jc w:val="both"/>
        <w:outlineLvl w:val="0"/>
        <w:rPr>
          <w:rFonts w:cstheme="minorHAnsi"/>
        </w:rPr>
      </w:pPr>
      <w:r>
        <w:rPr>
          <w:rFonts w:cstheme="minorHAnsi"/>
        </w:rPr>
        <w:t>Tato výzva je rovněž zadávací dokumentací k této veřejné zakázce.</w:t>
      </w:r>
    </w:p>
    <w:p w:rsidRPr="001A4BC8" w:rsidR="0086451C" w:rsidP="0086451C" w:rsidRDefault="0086451C">
      <w:pPr>
        <w:jc w:val="both"/>
        <w:outlineLvl w:val="0"/>
        <w:rPr>
          <w:rFonts w:cstheme="minorHAnsi"/>
        </w:rPr>
      </w:pPr>
    </w:p>
    <w:p w:rsidRPr="001A4BC8" w:rsidR="0086451C" w:rsidP="0086451C" w:rsidRDefault="0086451C">
      <w:pPr>
        <w:jc w:val="both"/>
        <w:outlineLvl w:val="0"/>
        <w:rPr>
          <w:rFonts w:cstheme="minorHAnsi"/>
          <w:b/>
        </w:rPr>
      </w:pPr>
      <w:r w:rsidRPr="001A4BC8">
        <w:rPr>
          <w:rFonts w:cstheme="minorHAnsi"/>
          <w:b/>
        </w:rPr>
        <w:t>Z A D A V A T E L:</w:t>
      </w:r>
      <w:r w:rsidRPr="001A4BC8">
        <w:rPr>
          <w:rFonts w:cstheme="minorHAnsi"/>
        </w:rPr>
        <w:t xml:space="preserve"> </w:t>
      </w:r>
      <w:r w:rsidRPr="001A4BC8">
        <w:rPr>
          <w:rFonts w:cstheme="minorHAnsi"/>
          <w:b/>
        </w:rPr>
        <w:t xml:space="preserve"> </w:t>
      </w:r>
      <w:r>
        <w:rPr>
          <w:rFonts w:cstheme="minorHAnsi"/>
          <w:b/>
        </w:rPr>
        <w:tab/>
      </w:r>
      <w:r w:rsidRPr="001A4BC8">
        <w:rPr>
          <w:rFonts w:cstheme="minorHAnsi"/>
          <w:b/>
        </w:rPr>
        <w:t>Česká republika - Úřad práce ČR</w:t>
      </w:r>
    </w:p>
    <w:p w:rsidRPr="009912C2" w:rsidR="0086451C" w:rsidP="0086451C" w:rsidRDefault="0086451C">
      <w:pPr>
        <w:jc w:val="both"/>
        <w:rPr>
          <w:rFonts w:cstheme="minorHAnsi"/>
        </w:rPr>
      </w:pPr>
      <w:r w:rsidRPr="009912C2">
        <w:rPr>
          <w:rFonts w:cstheme="minorHAnsi"/>
          <w:b/>
          <w:u w:val="single"/>
        </w:rPr>
        <w:t>Sídlo</w:t>
      </w:r>
      <w:r w:rsidRPr="009912C2">
        <w:rPr>
          <w:rFonts w:cstheme="minorHAnsi"/>
          <w:u w:val="single"/>
        </w:rPr>
        <w:t>:</w:t>
      </w:r>
      <w:r w:rsidRPr="009912C2">
        <w:rPr>
          <w:rFonts w:cstheme="minorHAnsi"/>
        </w:rPr>
        <w:t xml:space="preserve"> </w:t>
      </w:r>
      <w:r>
        <w:rPr>
          <w:rFonts w:cstheme="minorHAnsi"/>
        </w:rPr>
        <w:tab/>
      </w:r>
      <w:r>
        <w:rPr>
          <w:rFonts w:cstheme="minorHAnsi"/>
        </w:rPr>
        <w:tab/>
      </w:r>
      <w:r>
        <w:rPr>
          <w:rFonts w:cstheme="minorHAnsi"/>
        </w:rPr>
        <w:tab/>
      </w:r>
      <w:r w:rsidRPr="009912C2">
        <w:rPr>
          <w:rFonts w:cstheme="minorHAnsi"/>
        </w:rPr>
        <w:t>Dobrovského 1278/25, 170 00 Praha 7</w:t>
      </w:r>
    </w:p>
    <w:p w:rsidRPr="009912C2" w:rsidR="0086451C" w:rsidP="0086451C" w:rsidRDefault="0086451C">
      <w:pPr>
        <w:jc w:val="both"/>
        <w:rPr>
          <w:rFonts w:cstheme="minorHAnsi"/>
        </w:rPr>
      </w:pPr>
      <w:r w:rsidRPr="009912C2">
        <w:rPr>
          <w:rFonts w:cstheme="minorHAnsi"/>
          <w:b/>
          <w:u w:val="single"/>
        </w:rPr>
        <w:t>IČ</w:t>
      </w:r>
      <w:r w:rsidRPr="009912C2">
        <w:rPr>
          <w:rFonts w:cstheme="minorHAnsi"/>
          <w:u w:val="single"/>
        </w:rPr>
        <w:t>:</w:t>
      </w:r>
      <w:r w:rsidRPr="009912C2">
        <w:rPr>
          <w:rFonts w:cstheme="minorHAnsi"/>
        </w:rPr>
        <w:t xml:space="preserve"> </w:t>
      </w:r>
      <w:r>
        <w:rPr>
          <w:rFonts w:cstheme="minorHAnsi"/>
        </w:rPr>
        <w:tab/>
      </w:r>
      <w:r>
        <w:rPr>
          <w:rFonts w:cstheme="minorHAnsi"/>
        </w:rPr>
        <w:tab/>
      </w:r>
      <w:r>
        <w:rPr>
          <w:rFonts w:cstheme="minorHAnsi"/>
        </w:rPr>
        <w:tab/>
      </w:r>
      <w:r w:rsidRPr="009912C2">
        <w:rPr>
          <w:rFonts w:cstheme="minorHAnsi"/>
        </w:rPr>
        <w:t>72496991</w:t>
      </w:r>
    </w:p>
    <w:p w:rsidRPr="009912C2" w:rsidR="0086451C" w:rsidP="0086451C" w:rsidRDefault="0086451C">
      <w:pPr>
        <w:jc w:val="both"/>
        <w:rPr>
          <w:rFonts w:cstheme="minorHAnsi"/>
        </w:rPr>
      </w:pPr>
      <w:r w:rsidRPr="009912C2">
        <w:rPr>
          <w:rFonts w:cstheme="minorHAnsi"/>
          <w:b/>
          <w:u w:val="single"/>
        </w:rPr>
        <w:t>Adresa pro kontakt</w:t>
      </w:r>
      <w:r w:rsidRPr="009912C2">
        <w:rPr>
          <w:rFonts w:cstheme="minorHAnsi"/>
          <w:u w:val="single"/>
        </w:rPr>
        <w:t>:</w:t>
      </w:r>
      <w:r w:rsidRPr="009912C2">
        <w:rPr>
          <w:rFonts w:cstheme="minorHAnsi"/>
        </w:rPr>
        <w:t xml:space="preserve"> </w:t>
      </w:r>
      <w:r>
        <w:rPr>
          <w:rFonts w:cstheme="minorHAnsi"/>
        </w:rPr>
        <w:tab/>
      </w:r>
      <w:r w:rsidRPr="009912C2">
        <w:rPr>
          <w:rFonts w:cstheme="minorHAnsi"/>
        </w:rPr>
        <w:t xml:space="preserve">Úřad práce ČR, krajská pobočka v Olomouci, </w:t>
      </w:r>
      <w:proofErr w:type="spellStart"/>
      <w:r w:rsidRPr="009912C2">
        <w:rPr>
          <w:rFonts w:cstheme="minorHAnsi"/>
        </w:rPr>
        <w:t>Vejdovského</w:t>
      </w:r>
      <w:proofErr w:type="spellEnd"/>
      <w:r w:rsidRPr="009912C2">
        <w:rPr>
          <w:rFonts w:cstheme="minorHAnsi"/>
        </w:rPr>
        <w:t xml:space="preserve"> 988/4, </w:t>
      </w:r>
    </w:p>
    <w:p w:rsidRPr="009912C2" w:rsidR="0086451C" w:rsidP="0086451C" w:rsidRDefault="0086451C">
      <w:pPr>
        <w:jc w:val="both"/>
        <w:rPr>
          <w:rFonts w:cstheme="minorHAnsi"/>
        </w:rPr>
      </w:pPr>
      <w:r w:rsidRPr="009912C2">
        <w:rPr>
          <w:rFonts w:cstheme="minorHAnsi"/>
        </w:rPr>
        <w:t xml:space="preserve">                                     </w:t>
      </w:r>
      <w:r>
        <w:rPr>
          <w:rFonts w:cstheme="minorHAnsi"/>
        </w:rPr>
        <w:tab/>
      </w:r>
      <w:r w:rsidRPr="009912C2">
        <w:rPr>
          <w:rFonts w:cstheme="minorHAnsi"/>
        </w:rPr>
        <w:t>779 00 Olomouc</w:t>
      </w:r>
    </w:p>
    <w:p w:rsidRPr="001A4BC8" w:rsidR="0086451C" w:rsidP="0086451C" w:rsidRDefault="0086451C">
      <w:pPr>
        <w:jc w:val="both"/>
        <w:rPr>
          <w:rFonts w:cstheme="minorHAnsi"/>
        </w:rPr>
      </w:pPr>
      <w:r w:rsidRPr="009912C2">
        <w:rPr>
          <w:rFonts w:cstheme="minorHAnsi"/>
          <w:b/>
          <w:u w:val="single"/>
        </w:rPr>
        <w:t>Osoba oprávněná jednat za zadavatele</w:t>
      </w:r>
      <w:r w:rsidRPr="009912C2">
        <w:rPr>
          <w:rFonts w:cstheme="minorHAnsi"/>
          <w:u w:val="single"/>
        </w:rPr>
        <w:t>:</w:t>
      </w:r>
      <w:r w:rsidRPr="009912C2">
        <w:rPr>
          <w:rFonts w:cstheme="minorHAnsi"/>
        </w:rPr>
        <w:t xml:space="preserve"> Ing. Jiří Šabata, ředitel krajské pobočky</w:t>
      </w:r>
    </w:p>
    <w:p w:rsidRPr="00FA65A3" w:rsidR="0086451C" w:rsidP="0086451C" w:rsidRDefault="0086451C">
      <w:pPr>
        <w:jc w:val="both"/>
        <w:rPr>
          <w:rFonts w:cstheme="minorHAnsi"/>
        </w:rPr>
      </w:pPr>
      <w:r w:rsidRPr="001A4BC8">
        <w:rPr>
          <w:rFonts w:cstheme="minorHAnsi"/>
          <w:b/>
          <w:u w:val="single"/>
        </w:rPr>
        <w:t>Kontaktní osoba</w:t>
      </w:r>
      <w:r w:rsidRPr="001A4BC8">
        <w:rPr>
          <w:rFonts w:cstheme="minorHAnsi"/>
          <w:u w:val="single"/>
        </w:rPr>
        <w:t>:</w:t>
      </w:r>
      <w:r w:rsidRPr="001A4BC8">
        <w:rPr>
          <w:rFonts w:cstheme="minorHAnsi"/>
        </w:rPr>
        <w:t xml:space="preserve"> </w:t>
      </w:r>
      <w:r>
        <w:rPr>
          <w:rFonts w:cstheme="minorHAnsi"/>
        </w:rPr>
        <w:t xml:space="preserve"> </w:t>
      </w:r>
      <w:r>
        <w:rPr>
          <w:rFonts w:cstheme="minorHAnsi"/>
          <w:color w:val="000000"/>
        </w:rPr>
        <w:t xml:space="preserve">PhDr. Marta Kršková, tel. 950 141 428, e-mail: </w:t>
      </w:r>
      <w:hyperlink w:history="true" r:id="rId9">
        <w:r w:rsidRPr="00FA65A3">
          <w:rPr>
            <w:rStyle w:val="Hypertextovodkaz"/>
            <w:rFonts w:cstheme="minorHAnsi"/>
          </w:rPr>
          <w:t>marta.krskova@ol.mpsv.cz</w:t>
        </w:r>
      </w:hyperlink>
      <w:r w:rsidRPr="00FA65A3">
        <w:rPr>
          <w:rFonts w:cstheme="minorHAnsi"/>
        </w:rPr>
        <w:t xml:space="preserve">, </w:t>
      </w:r>
      <w:r>
        <w:rPr>
          <w:rFonts w:cstheme="minorHAnsi"/>
        </w:rPr>
        <w:br/>
      </w:r>
      <w:r w:rsidRPr="00FA65A3">
        <w:rPr>
          <w:rFonts w:cstheme="minorHAnsi"/>
        </w:rPr>
        <w:t xml:space="preserve">Mgr. Jana Čuhlová, tel. 950 141 322, e-mail: </w:t>
      </w:r>
      <w:hyperlink w:history="true" r:id="rId10">
        <w:r w:rsidRPr="00FA65A3">
          <w:rPr>
            <w:rStyle w:val="Hypertextovodkaz"/>
            <w:rFonts w:cstheme="minorHAnsi"/>
          </w:rPr>
          <w:t>jana.cuhlova@ol.mpsv.cz</w:t>
        </w:r>
      </w:hyperlink>
      <w:r w:rsidRPr="00FA65A3">
        <w:rPr>
          <w:rFonts w:cstheme="minorHAnsi"/>
        </w:rPr>
        <w:t xml:space="preserve">, Mgr. Jana Litvíková, tel. 950 141 622, e-mail: </w:t>
      </w:r>
      <w:hyperlink w:history="true" r:id="rId11">
        <w:r w:rsidRPr="00FA65A3">
          <w:rPr>
            <w:rStyle w:val="Hypertextovodkaz"/>
            <w:rFonts w:cstheme="minorHAnsi"/>
          </w:rPr>
          <w:t>jana.litvikova@ol.mpsv.cz</w:t>
        </w:r>
      </w:hyperlink>
    </w:p>
    <w:p w:rsidR="0086451C" w:rsidP="0086451C" w:rsidRDefault="0086451C">
      <w:pPr>
        <w:jc w:val="both"/>
        <w:rPr>
          <w:rFonts w:cstheme="minorHAnsi"/>
          <w:color w:val="000000"/>
        </w:rPr>
      </w:pPr>
    </w:p>
    <w:p w:rsidR="0086451C" w:rsidP="0086451C" w:rsidRDefault="0086451C">
      <w:pPr>
        <w:jc w:val="both"/>
        <w:rPr>
          <w:rFonts w:cstheme="minorHAnsi"/>
          <w:color w:val="000000"/>
        </w:rPr>
      </w:pPr>
    </w:p>
    <w:p w:rsidRPr="001A4BC8" w:rsidR="0086451C" w:rsidP="0086451C" w:rsidRDefault="0086451C">
      <w:pPr>
        <w:jc w:val="both"/>
        <w:rPr>
          <w:rFonts w:cstheme="minorHAnsi"/>
          <w:b/>
          <w:color w:val="000000"/>
          <w:u w:val="single"/>
        </w:rPr>
      </w:pPr>
      <w:r w:rsidRPr="001A4BC8">
        <w:rPr>
          <w:rFonts w:cstheme="minorHAnsi"/>
          <w:b/>
          <w:color w:val="000000"/>
          <w:u w:val="single"/>
        </w:rPr>
        <w:t xml:space="preserve">I. Vymezení předmětu plnění veřejné zakázky. </w:t>
      </w:r>
    </w:p>
    <w:p w:rsidR="0086451C" w:rsidP="0086451C" w:rsidRDefault="0086451C">
      <w:pPr>
        <w:spacing w:before="120"/>
        <w:jc w:val="both"/>
        <w:rPr>
          <w:rFonts w:cstheme="minorHAnsi"/>
        </w:rPr>
      </w:pPr>
      <w:r w:rsidRPr="001A4BC8">
        <w:rPr>
          <w:rFonts w:cstheme="minorHAnsi"/>
        </w:rPr>
        <w:t>Předmětem plnění této veřejné zakázky je zabezpečení</w:t>
      </w:r>
      <w:r>
        <w:rPr>
          <w:rFonts w:cstheme="minorHAnsi"/>
        </w:rPr>
        <w:t xml:space="preserve"> </w:t>
      </w:r>
      <w:r w:rsidRPr="001A4BC8">
        <w:rPr>
          <w:rFonts w:cstheme="minorHAnsi"/>
        </w:rPr>
        <w:t>a</w:t>
      </w:r>
      <w:r>
        <w:rPr>
          <w:rFonts w:cstheme="minorHAnsi"/>
        </w:rPr>
        <w:t xml:space="preserve"> </w:t>
      </w:r>
      <w:r w:rsidRPr="001A4BC8">
        <w:rPr>
          <w:rFonts w:cstheme="minorHAnsi"/>
        </w:rPr>
        <w:t>realizace</w:t>
      </w:r>
      <w:r>
        <w:rPr>
          <w:rFonts w:cstheme="minorHAnsi"/>
        </w:rPr>
        <w:t xml:space="preserve"> rekvalifikace </w:t>
      </w:r>
      <w:proofErr w:type="gramStart"/>
      <w:r>
        <w:rPr>
          <w:rFonts w:cstheme="minorHAnsi"/>
        </w:rPr>
        <w:t>na  pracovní</w:t>
      </w:r>
      <w:proofErr w:type="gramEnd"/>
      <w:r>
        <w:rPr>
          <w:rFonts w:cstheme="minorHAnsi"/>
        </w:rPr>
        <w:t xml:space="preserve">  činnost </w:t>
      </w:r>
      <w:r w:rsidRPr="001A4BC8">
        <w:rPr>
          <w:rFonts w:cstheme="minorHAnsi"/>
        </w:rPr>
        <w:t xml:space="preserve"> „</w:t>
      </w:r>
      <w:r>
        <w:rPr>
          <w:rFonts w:cstheme="minorHAnsi"/>
        </w:rPr>
        <w:t xml:space="preserve">Bourání masa 29-021-H“ dle hodnotícího standardu dané profesní kvalifikace. Rozsah </w:t>
      </w:r>
      <w:r w:rsidRPr="009912C2">
        <w:rPr>
          <w:rFonts w:cstheme="minorHAnsi"/>
        </w:rPr>
        <w:t>rekvalifikace: minimálně</w:t>
      </w:r>
      <w:r>
        <w:rPr>
          <w:rFonts w:cstheme="minorHAnsi"/>
        </w:rPr>
        <w:t xml:space="preserve"> 150 hodin (jedná se o rozsah výuky, který musí uchazeč o zakázku navýšit o hodiny zkoušky), praktická výuka proběhne z části u zaměstnavatele. Profesní kvalifikace Bourání masa (kód 29-021-H) je integrovaná do úplné profesní kvalifikace Řezník- uzenář 29-56-H/01. </w:t>
      </w:r>
    </w:p>
    <w:p w:rsidR="0086451C" w:rsidP="0086451C" w:rsidRDefault="0086451C">
      <w:pPr>
        <w:spacing w:before="120"/>
        <w:jc w:val="both"/>
        <w:rPr>
          <w:rFonts w:cstheme="minorHAnsi"/>
        </w:rPr>
      </w:pPr>
      <w:r>
        <w:rPr>
          <w:rFonts w:cstheme="minorHAnsi"/>
        </w:rPr>
        <w:t xml:space="preserve">Zkouška je součástí rekvalifikace a její náklady jsou promítnuty v kalkulaci nákladů rekvalifikace. </w:t>
      </w:r>
    </w:p>
    <w:p w:rsidR="0086451C" w:rsidP="0086451C" w:rsidRDefault="0086451C">
      <w:pPr>
        <w:spacing w:before="120"/>
        <w:jc w:val="both"/>
        <w:rPr>
          <w:rFonts w:cstheme="minorHAnsi"/>
        </w:rPr>
      </w:pPr>
      <w:r w:rsidRPr="001A4BC8">
        <w:rPr>
          <w:rFonts w:cstheme="minorHAnsi"/>
        </w:rPr>
        <w:t>Rekvalifika</w:t>
      </w:r>
      <w:r>
        <w:rPr>
          <w:rFonts w:cstheme="minorHAnsi"/>
        </w:rPr>
        <w:t>ce</w:t>
      </w:r>
      <w:r w:rsidRPr="001A4BC8">
        <w:rPr>
          <w:rFonts w:cstheme="minorHAnsi"/>
        </w:rPr>
        <w:t xml:space="preserve"> bude financován</w:t>
      </w:r>
      <w:r>
        <w:rPr>
          <w:rFonts w:cstheme="minorHAnsi"/>
        </w:rPr>
        <w:t>a</w:t>
      </w:r>
      <w:r w:rsidRPr="001A4BC8">
        <w:rPr>
          <w:rFonts w:cstheme="minorHAnsi"/>
        </w:rPr>
        <w:t xml:space="preserve"> z</w:t>
      </w:r>
      <w:r>
        <w:rPr>
          <w:rFonts w:cstheme="minorHAnsi"/>
        </w:rPr>
        <w:t xml:space="preserve"> prostředků </w:t>
      </w:r>
      <w:r w:rsidRPr="001A4BC8">
        <w:rPr>
          <w:rFonts w:cstheme="minorHAnsi"/>
        </w:rPr>
        <w:t> Evropského sociálního fondu, z</w:t>
      </w:r>
      <w:r>
        <w:rPr>
          <w:rFonts w:cstheme="minorHAnsi"/>
        </w:rPr>
        <w:t> operačního programu Lidské zdroje a zaměstnanost (dále jen „OP LZZ“), z </w:t>
      </w:r>
      <w:r w:rsidRPr="001A4BC8">
        <w:rPr>
          <w:rFonts w:cstheme="minorHAnsi"/>
        </w:rPr>
        <w:t>národní</w:t>
      </w:r>
      <w:r>
        <w:rPr>
          <w:rFonts w:cstheme="minorHAnsi"/>
        </w:rPr>
        <w:t xml:space="preserve">ho individuálního projektu Vzdělávání </w:t>
      </w:r>
      <w:r>
        <w:rPr>
          <w:rFonts w:cstheme="minorHAnsi"/>
        </w:rPr>
        <w:br/>
      </w:r>
      <w:r>
        <w:rPr>
          <w:rFonts w:cstheme="minorHAnsi"/>
        </w:rPr>
        <w:lastRenderedPageBreak/>
        <w:t xml:space="preserve">a dovednosti pro trh práce, registrační číslo CZ.1.04/2.1.00/03.00017, nebo z národních prostředků </w:t>
      </w:r>
      <w:r>
        <w:rPr>
          <w:rFonts w:cstheme="minorHAnsi"/>
        </w:rPr>
        <w:br/>
        <w:t>(z rozpočtu na tzv. aktivní politiku zaměstnanosti).</w:t>
      </w:r>
    </w:p>
    <w:p w:rsidR="0086451C" w:rsidP="0086451C" w:rsidRDefault="0086451C">
      <w:pPr>
        <w:spacing w:before="120"/>
        <w:jc w:val="both"/>
        <w:rPr>
          <w:rFonts w:cstheme="minorHAnsi"/>
        </w:rPr>
      </w:pPr>
      <w:r>
        <w:rPr>
          <w:rFonts w:cstheme="minorHAnsi"/>
        </w:rPr>
        <w:t xml:space="preserve">Rekvalifikaci ani její jednotlivý běh nelze realizovat celý prostřednictvím subdodavatelů. </w:t>
      </w:r>
    </w:p>
    <w:p w:rsidR="0086451C" w:rsidP="0086451C" w:rsidRDefault="0086451C">
      <w:pPr>
        <w:jc w:val="both"/>
        <w:rPr>
          <w:rFonts w:cstheme="minorHAnsi"/>
        </w:rPr>
      </w:pPr>
    </w:p>
    <w:p w:rsidR="0086451C" w:rsidP="0086451C" w:rsidRDefault="0086451C">
      <w:pPr>
        <w:jc w:val="both"/>
        <w:rPr>
          <w:rFonts w:cstheme="minorHAnsi"/>
          <w:bCs/>
        </w:rPr>
      </w:pPr>
      <w:r w:rsidRPr="001A4BC8">
        <w:rPr>
          <w:rFonts w:cstheme="minorHAnsi"/>
          <w:b/>
        </w:rPr>
        <w:t>Vstupní požadavky</w:t>
      </w:r>
      <w:r w:rsidRPr="001A4BC8">
        <w:rPr>
          <w:rFonts w:cstheme="minorHAnsi"/>
        </w:rPr>
        <w:t xml:space="preserve">  - </w:t>
      </w:r>
      <w:r>
        <w:rPr>
          <w:rFonts w:cstheme="minorHAnsi"/>
        </w:rPr>
        <w:t xml:space="preserve">rekvalifikace </w:t>
      </w:r>
      <w:r w:rsidRPr="001A4BC8">
        <w:rPr>
          <w:rFonts w:cstheme="minorHAnsi"/>
        </w:rPr>
        <w:t>je určen</w:t>
      </w:r>
      <w:r>
        <w:rPr>
          <w:rFonts w:cstheme="minorHAnsi"/>
        </w:rPr>
        <w:t>a</w:t>
      </w:r>
      <w:r w:rsidRPr="001A4BC8">
        <w:rPr>
          <w:rFonts w:cstheme="minorHAnsi"/>
        </w:rPr>
        <w:t xml:space="preserve"> pro uchazeče</w:t>
      </w:r>
      <w:r>
        <w:rPr>
          <w:rFonts w:cstheme="minorHAnsi"/>
        </w:rPr>
        <w:t xml:space="preserve"> a zájemce o zaměstnání, kteří mají ukončené základní vzdělání, </w:t>
      </w:r>
      <w:r w:rsidRPr="001A4BC8">
        <w:rPr>
          <w:rFonts w:cstheme="minorHAnsi"/>
        </w:rPr>
        <w:t>dosáhli 18 let věku</w:t>
      </w:r>
      <w:r>
        <w:rPr>
          <w:rFonts w:cstheme="minorHAnsi"/>
        </w:rPr>
        <w:t>,</w:t>
      </w:r>
      <w:r w:rsidRPr="001A4BC8">
        <w:rPr>
          <w:rFonts w:cstheme="minorHAnsi"/>
        </w:rPr>
        <w:t xml:space="preserve"> </w:t>
      </w:r>
      <w:r>
        <w:rPr>
          <w:rFonts w:cstheme="minorHAnsi"/>
        </w:rPr>
        <w:t xml:space="preserve">splňují zdravotní předpoklady a vlastní platný zdravotní průkaz pro práci v potravinářství. </w:t>
      </w:r>
      <w:r w:rsidRPr="001A4BC8">
        <w:rPr>
          <w:rFonts w:cstheme="minorHAnsi"/>
        </w:rPr>
        <w:t xml:space="preserve">  </w:t>
      </w:r>
      <w:r>
        <w:rPr>
          <w:rFonts w:cstheme="minorHAnsi"/>
        </w:rPr>
        <w:t xml:space="preserve">Počet účastníků v jednom běhu rekvalifikace:  5 – 10. </w:t>
      </w:r>
      <w:r w:rsidRPr="001A4BC8">
        <w:rPr>
          <w:rFonts w:cstheme="minorHAnsi"/>
          <w:bCs/>
        </w:rPr>
        <w:t xml:space="preserve"> Předpokládaný </w:t>
      </w:r>
      <w:r>
        <w:rPr>
          <w:rFonts w:cstheme="minorHAnsi"/>
          <w:bCs/>
        </w:rPr>
        <w:t xml:space="preserve">celkový </w:t>
      </w:r>
      <w:r w:rsidRPr="001A4BC8">
        <w:rPr>
          <w:rFonts w:cstheme="minorHAnsi"/>
          <w:bCs/>
        </w:rPr>
        <w:t>počet účastníků</w:t>
      </w:r>
      <w:r>
        <w:rPr>
          <w:rFonts w:cstheme="minorHAnsi"/>
          <w:bCs/>
        </w:rPr>
        <w:t>: nejvýše 20.</w:t>
      </w:r>
    </w:p>
    <w:p w:rsidR="0086451C" w:rsidP="0086451C" w:rsidRDefault="0086451C">
      <w:pPr>
        <w:jc w:val="both"/>
        <w:rPr>
          <w:rFonts w:cstheme="minorHAnsi"/>
          <w:bCs/>
        </w:rPr>
      </w:pPr>
    </w:p>
    <w:p w:rsidRPr="001A4BC8" w:rsidR="0086451C" w:rsidP="0086451C" w:rsidRDefault="0086451C">
      <w:pPr>
        <w:jc w:val="both"/>
        <w:rPr>
          <w:rFonts w:cstheme="minorHAnsi"/>
          <w:b/>
          <w:color w:val="000000"/>
          <w:u w:val="single"/>
        </w:rPr>
      </w:pPr>
      <w:r>
        <w:rPr>
          <w:rFonts w:cstheme="minorHAnsi"/>
          <w:b/>
          <w:color w:val="000000"/>
          <w:u w:val="single"/>
        </w:rPr>
        <w:t xml:space="preserve">II. </w:t>
      </w:r>
      <w:r w:rsidRPr="001A4BC8">
        <w:rPr>
          <w:rFonts w:cstheme="minorHAnsi"/>
          <w:b/>
          <w:color w:val="000000"/>
          <w:u w:val="single"/>
        </w:rPr>
        <w:t xml:space="preserve">Doba a místo plnění veřejné zakázky. </w:t>
      </w:r>
    </w:p>
    <w:p w:rsidR="0086451C" w:rsidP="0086451C" w:rsidRDefault="0086451C">
      <w:pPr>
        <w:spacing w:before="120"/>
        <w:jc w:val="both"/>
        <w:rPr>
          <w:rFonts w:cstheme="minorHAnsi"/>
          <w:color w:val="000000"/>
        </w:rPr>
      </w:pPr>
      <w:r>
        <w:rPr>
          <w:rFonts w:cstheme="minorHAnsi"/>
          <w:b/>
          <w:color w:val="000000"/>
        </w:rPr>
        <w:t>Předpokládaný termín</w:t>
      </w:r>
      <w:r w:rsidRPr="001A4BC8">
        <w:rPr>
          <w:rFonts w:cstheme="minorHAnsi"/>
          <w:b/>
          <w:color w:val="000000"/>
        </w:rPr>
        <w:t xml:space="preserve"> </w:t>
      </w:r>
      <w:r w:rsidRPr="001A4BC8">
        <w:rPr>
          <w:rFonts w:cstheme="minorHAnsi"/>
          <w:color w:val="000000"/>
        </w:rPr>
        <w:t>zahájení</w:t>
      </w:r>
      <w:r>
        <w:rPr>
          <w:rFonts w:cstheme="minorHAnsi"/>
          <w:color w:val="000000"/>
        </w:rPr>
        <w:t xml:space="preserve"> 1. běhu rekvalifikace:  </w:t>
      </w:r>
      <w:r w:rsidRPr="00D6292D">
        <w:rPr>
          <w:rFonts w:cstheme="minorHAnsi"/>
        </w:rPr>
        <w:t>2. čtvrtletí r. 2015</w:t>
      </w:r>
      <w:r w:rsidRPr="009912C2">
        <w:rPr>
          <w:rFonts w:cstheme="minorHAnsi"/>
          <w:color w:val="000000"/>
        </w:rPr>
        <w:t>, zadavatel si</w:t>
      </w:r>
      <w:r>
        <w:rPr>
          <w:rFonts w:cstheme="minorHAnsi"/>
          <w:color w:val="000000"/>
        </w:rPr>
        <w:t xml:space="preserve"> vyhrazuje možnost další běhy rekvalifikace nerealizovat. </w:t>
      </w:r>
    </w:p>
    <w:p w:rsidR="0086451C" w:rsidP="0086451C" w:rsidRDefault="0086451C">
      <w:pPr>
        <w:spacing w:before="120"/>
        <w:jc w:val="both"/>
        <w:rPr>
          <w:rFonts w:cstheme="minorHAnsi"/>
          <w:color w:val="000000"/>
        </w:rPr>
      </w:pPr>
      <w:r>
        <w:rPr>
          <w:rFonts w:cstheme="minorHAnsi"/>
          <w:color w:val="000000"/>
        </w:rPr>
        <w:t xml:space="preserve">Případné další běhy budou zahájeny </w:t>
      </w:r>
      <w:r w:rsidRPr="001A4BC8">
        <w:rPr>
          <w:rFonts w:cstheme="minorHAnsi"/>
          <w:color w:val="000000"/>
        </w:rPr>
        <w:t xml:space="preserve">dle potřeb zadavatele na základě písemných nebo e-mailových objednávek, jejichž přijetí potvrdí dodavatel max. do 4 pracovních dnů e-mailem nebo faxem. Kurz musí být zahájen nejpozději do 15 pracovních dnů od doručení objednávky, pokud nebude v objednávce stanoveno jinak. Termín </w:t>
      </w:r>
      <w:r>
        <w:rPr>
          <w:rFonts w:cstheme="minorHAnsi"/>
          <w:color w:val="000000"/>
        </w:rPr>
        <w:t>zahájení posledního běhu rekvalifikace:</w:t>
      </w:r>
    </w:p>
    <w:p w:rsidRPr="0086451C" w:rsidR="0086451C" w:rsidP="0086451C" w:rsidRDefault="0086451C">
      <w:pPr>
        <w:spacing w:before="120"/>
        <w:jc w:val="both"/>
        <w:rPr>
          <w:rFonts w:cstheme="minorHAnsi"/>
          <w:color w:val="C0504D" w:themeColor="accent2"/>
        </w:rPr>
      </w:pPr>
      <w:r w:rsidRPr="001A4BC8">
        <w:rPr>
          <w:rFonts w:cstheme="minorHAnsi"/>
          <w:color w:val="000000"/>
        </w:rPr>
        <w:t xml:space="preserve">nejpozději </w:t>
      </w:r>
      <w:r w:rsidRPr="00324E49">
        <w:rPr>
          <w:rFonts w:cstheme="minorHAnsi"/>
        </w:rPr>
        <w:t xml:space="preserve">do 30. 10. 2015. </w:t>
      </w:r>
    </w:p>
    <w:p w:rsidR="0086451C" w:rsidP="0086451C" w:rsidRDefault="0086451C">
      <w:pPr>
        <w:spacing w:before="120"/>
        <w:jc w:val="both"/>
        <w:rPr>
          <w:rFonts w:cstheme="minorHAnsi"/>
          <w:color w:val="000000"/>
        </w:rPr>
      </w:pPr>
      <w:r w:rsidRPr="001A4BC8">
        <w:rPr>
          <w:rFonts w:cstheme="minorHAnsi"/>
          <w:b/>
          <w:color w:val="000000"/>
        </w:rPr>
        <w:t xml:space="preserve">Místo </w:t>
      </w:r>
      <w:r w:rsidRPr="001A4BC8">
        <w:rPr>
          <w:rFonts w:cstheme="minorHAnsi"/>
          <w:color w:val="000000"/>
        </w:rPr>
        <w:t xml:space="preserve">plnění: </w:t>
      </w:r>
      <w:r w:rsidRPr="00324E49">
        <w:rPr>
          <w:rFonts w:cstheme="minorHAnsi"/>
        </w:rPr>
        <w:t>Olomoucký</w:t>
      </w:r>
      <w:r w:rsidR="00324E49">
        <w:rPr>
          <w:rFonts w:cstheme="minorHAnsi"/>
        </w:rPr>
        <w:t xml:space="preserve"> a </w:t>
      </w:r>
      <w:r w:rsidR="006D1422">
        <w:rPr>
          <w:rFonts w:cstheme="minorHAnsi"/>
        </w:rPr>
        <w:t xml:space="preserve">Jihomoravský </w:t>
      </w:r>
      <w:bookmarkStart w:name="_GoBack" w:id="0"/>
      <w:bookmarkEnd w:id="0"/>
      <w:r w:rsidRPr="00324E49">
        <w:rPr>
          <w:rFonts w:cstheme="minorHAnsi"/>
        </w:rPr>
        <w:t>kraj</w:t>
      </w:r>
      <w:r w:rsidR="00324E49">
        <w:rPr>
          <w:rFonts w:cstheme="minorHAnsi"/>
        </w:rPr>
        <w:t xml:space="preserve">. </w:t>
      </w:r>
      <w:r w:rsidRPr="00324E49">
        <w:rPr>
          <w:rFonts w:cstheme="minorHAnsi"/>
        </w:rPr>
        <w:t xml:space="preserve"> Praktická část výuky může probíhat až </w:t>
      </w:r>
      <w:proofErr w:type="gramStart"/>
      <w:r w:rsidRPr="00324E49">
        <w:rPr>
          <w:rFonts w:cstheme="minorHAnsi"/>
        </w:rPr>
        <w:t>ze</w:t>
      </w:r>
      <w:proofErr w:type="gramEnd"/>
      <w:r w:rsidRPr="00324E49">
        <w:rPr>
          <w:rFonts w:cstheme="minorHAnsi"/>
        </w:rPr>
        <w:t xml:space="preserve"> 100%  v prostorách potenciálního zaměstnavatele v Prostějově. </w:t>
      </w:r>
      <w:r w:rsidRPr="006A05C5">
        <w:rPr>
          <w:rFonts w:cstheme="minorHAnsi"/>
        </w:rPr>
        <w:t>Za celou praktickou část výuky (za její zabezpečení, organizaci a vedení veškeré dokumentace</w:t>
      </w:r>
      <w:r w:rsidRPr="00AC2702">
        <w:rPr>
          <w:rFonts w:cstheme="minorHAnsi"/>
        </w:rPr>
        <w:t>) přitom zodpovídá dodavatel.</w:t>
      </w:r>
      <w:r>
        <w:rPr>
          <w:rFonts w:cstheme="minorHAnsi"/>
        </w:rPr>
        <w:t xml:space="preserve"> </w:t>
      </w:r>
      <w:r>
        <w:rPr>
          <w:rFonts w:cstheme="minorHAnsi"/>
          <w:color w:val="000000"/>
        </w:rPr>
        <w:t xml:space="preserve">Dodavatel je povinen zajistit, aby byly rekvalifikace realizovány v odpovídajících prostorách, které vyhovují hygienickým a bezpečnostním předpisům, a aby během praxe u zaměstnavatele nebyly porušovány pracovně právní předpisy.  </w:t>
      </w:r>
    </w:p>
    <w:p w:rsidRPr="001A4BC8" w:rsidR="0086451C" w:rsidP="0086451C" w:rsidRDefault="0086451C">
      <w:pPr>
        <w:spacing w:before="120"/>
        <w:jc w:val="both"/>
        <w:rPr>
          <w:rFonts w:cstheme="minorHAnsi"/>
          <w:color w:val="000000"/>
        </w:rPr>
      </w:pPr>
      <w:r>
        <w:rPr>
          <w:rFonts w:cstheme="minorHAnsi"/>
          <w:color w:val="000000"/>
        </w:rPr>
        <w:t>Maximální doba trvání 1 běhu rekvalifikace:  2 měsíce.</w:t>
      </w:r>
    </w:p>
    <w:p w:rsidRPr="001A4BC8" w:rsidR="0086451C" w:rsidP="0086451C" w:rsidRDefault="0086451C">
      <w:pPr>
        <w:jc w:val="both"/>
        <w:rPr>
          <w:rFonts w:cstheme="minorHAnsi"/>
          <w:color w:val="000000"/>
        </w:rPr>
      </w:pPr>
    </w:p>
    <w:p w:rsidRPr="001A4BC8" w:rsidR="0086451C" w:rsidP="0086451C" w:rsidRDefault="0086451C">
      <w:pPr>
        <w:jc w:val="both"/>
        <w:rPr>
          <w:rFonts w:cstheme="minorHAnsi"/>
          <w:color w:val="000000"/>
        </w:rPr>
      </w:pPr>
      <w:r w:rsidRPr="001A4BC8">
        <w:rPr>
          <w:rFonts w:cstheme="minorHAnsi"/>
          <w:b/>
          <w:color w:val="000000"/>
          <w:u w:val="single"/>
        </w:rPr>
        <w:t xml:space="preserve">III. Předpokládaná hodnota VZ.  </w:t>
      </w:r>
    </w:p>
    <w:p w:rsidR="0086451C" w:rsidP="0086451C" w:rsidRDefault="0086451C">
      <w:pPr>
        <w:jc w:val="both"/>
        <w:rPr>
          <w:rFonts w:cstheme="minorHAnsi"/>
          <w:color w:val="000000"/>
        </w:rPr>
      </w:pPr>
      <w:r>
        <w:rPr>
          <w:rFonts w:cstheme="minorHAnsi"/>
          <w:color w:val="000000"/>
        </w:rPr>
        <w:t xml:space="preserve">Předpokládaná hodnota </w:t>
      </w:r>
      <w:r w:rsidRPr="001A4BC8">
        <w:rPr>
          <w:rFonts w:cstheme="minorHAnsi"/>
          <w:color w:val="000000"/>
        </w:rPr>
        <w:t xml:space="preserve">zakázky činí </w:t>
      </w:r>
      <w:r>
        <w:rPr>
          <w:rFonts w:cstheme="minorHAnsi"/>
          <w:color w:val="000000"/>
        </w:rPr>
        <w:t>300 000</w:t>
      </w:r>
      <w:r w:rsidRPr="001A4BC8">
        <w:rPr>
          <w:rFonts w:cstheme="minorHAnsi"/>
          <w:color w:val="000000"/>
        </w:rPr>
        <w:t xml:space="preserve">,-Kč (bez DPH). </w:t>
      </w:r>
      <w:r>
        <w:rPr>
          <w:rFonts w:cstheme="minorHAnsi"/>
          <w:color w:val="000000"/>
        </w:rPr>
        <w:t xml:space="preserve">Předpokládaná hodnota zakázky je nepřekročitelná a je horní hranicí, kterou je dodavatel oprávněn za celkový předpokládaný objem plnění nabídnout.  </w:t>
      </w:r>
    </w:p>
    <w:p w:rsidR="0086451C" w:rsidP="0086451C" w:rsidRDefault="0086451C">
      <w:pPr>
        <w:jc w:val="both"/>
        <w:rPr>
          <w:rFonts w:cstheme="minorHAnsi"/>
          <w:color w:val="000000"/>
        </w:rPr>
      </w:pPr>
    </w:p>
    <w:p w:rsidRPr="001A4BC8" w:rsidR="0086451C" w:rsidP="0086451C" w:rsidRDefault="0086451C">
      <w:pPr>
        <w:jc w:val="both"/>
        <w:rPr>
          <w:rFonts w:cstheme="minorHAnsi"/>
          <w:b/>
          <w:color w:val="000000"/>
          <w:u w:val="single"/>
        </w:rPr>
      </w:pPr>
      <w:r w:rsidRPr="001A4BC8">
        <w:rPr>
          <w:rFonts w:cstheme="minorHAnsi"/>
          <w:b/>
          <w:color w:val="000000"/>
          <w:u w:val="single"/>
        </w:rPr>
        <w:t xml:space="preserve">IV. Obchodní a platební podmínky: </w:t>
      </w:r>
    </w:p>
    <w:p w:rsidRPr="001A4BC8" w:rsidR="0086451C" w:rsidP="0086451C" w:rsidRDefault="0086451C">
      <w:pPr>
        <w:jc w:val="both"/>
        <w:rPr>
          <w:rFonts w:cstheme="minorHAnsi"/>
          <w:color w:val="000000"/>
        </w:rPr>
      </w:pPr>
      <w:r w:rsidRPr="001A4BC8">
        <w:rPr>
          <w:rFonts w:cstheme="minorHAnsi"/>
          <w:color w:val="000000"/>
        </w:rPr>
        <w:t xml:space="preserve">Rekvalifikace bude realizována na základě Dohody o provedení rekvalifikace, viz příloha č. 3. </w:t>
      </w:r>
    </w:p>
    <w:p w:rsidR="0086451C" w:rsidP="0086451C" w:rsidRDefault="0086451C">
      <w:pPr>
        <w:jc w:val="both"/>
        <w:rPr>
          <w:rFonts w:cstheme="minorHAnsi"/>
          <w:color w:val="000000"/>
        </w:rPr>
      </w:pPr>
      <w:r w:rsidRPr="001A4BC8">
        <w:rPr>
          <w:rFonts w:cstheme="minorHAnsi"/>
          <w:color w:val="000000"/>
        </w:rPr>
        <w:t>Zadavatel neposkytuje zálohy.</w:t>
      </w:r>
      <w:r>
        <w:rPr>
          <w:rFonts w:cstheme="minorHAnsi"/>
          <w:color w:val="000000"/>
        </w:rPr>
        <w:t xml:space="preserve"> </w:t>
      </w:r>
      <w:r w:rsidRPr="001A4BC8">
        <w:rPr>
          <w:rFonts w:cstheme="minorHAnsi"/>
          <w:color w:val="000000"/>
        </w:rPr>
        <w:t>Úhrada</w:t>
      </w:r>
      <w:r>
        <w:rPr>
          <w:rFonts w:cstheme="minorHAnsi"/>
          <w:color w:val="000000"/>
        </w:rPr>
        <w:t xml:space="preserve"> proběhne vždy </w:t>
      </w:r>
      <w:r w:rsidRPr="001A4BC8">
        <w:rPr>
          <w:rFonts w:cstheme="minorHAnsi"/>
          <w:color w:val="000000"/>
        </w:rPr>
        <w:t xml:space="preserve">jednorázově </w:t>
      </w:r>
      <w:r>
        <w:rPr>
          <w:rFonts w:cstheme="minorHAnsi"/>
          <w:color w:val="000000"/>
        </w:rPr>
        <w:t>ve výši odpovídající součinu počtu absolventů daného kurzu a ceny za jednoho účastníka dle krycího listu nabídky po ukončení 1 běhu rekvalifikace. S</w:t>
      </w:r>
      <w:r w:rsidRPr="001A4BC8">
        <w:rPr>
          <w:rFonts w:cstheme="minorHAnsi"/>
          <w:color w:val="000000"/>
        </w:rPr>
        <w:t xml:space="preserve">platnost daňových dokladů (faktur) odsouhlasených zadavatelem bude minimálně 21 kalendářních dnů po prokazatelném doručení faktury na Úřad práce </w:t>
      </w:r>
      <w:r>
        <w:rPr>
          <w:rFonts w:cstheme="minorHAnsi"/>
          <w:color w:val="000000"/>
        </w:rPr>
        <w:t xml:space="preserve">ČR, krajskou pobočku v Olomouci.   </w:t>
      </w:r>
    </w:p>
    <w:p w:rsidR="0086451C" w:rsidP="0086451C" w:rsidRDefault="0086451C">
      <w:pPr>
        <w:jc w:val="both"/>
        <w:rPr>
          <w:rFonts w:cstheme="minorHAnsi"/>
          <w:color w:val="000000"/>
        </w:rPr>
      </w:pPr>
    </w:p>
    <w:p w:rsidR="0086451C" w:rsidP="0086451C" w:rsidRDefault="0086451C">
      <w:pPr>
        <w:jc w:val="both"/>
        <w:rPr>
          <w:rFonts w:cstheme="minorHAnsi"/>
          <w:color w:val="000000"/>
        </w:rPr>
      </w:pPr>
    </w:p>
    <w:p w:rsidR="0086451C" w:rsidP="0086451C" w:rsidRDefault="0086451C">
      <w:pPr>
        <w:jc w:val="both"/>
        <w:rPr>
          <w:rFonts w:cstheme="minorHAnsi"/>
          <w:color w:val="000000"/>
        </w:rPr>
      </w:pPr>
    </w:p>
    <w:p w:rsidR="0086451C" w:rsidP="0086451C" w:rsidRDefault="0086451C">
      <w:pPr>
        <w:jc w:val="both"/>
        <w:rPr>
          <w:rFonts w:cstheme="minorHAnsi"/>
          <w:color w:val="000000"/>
        </w:rPr>
      </w:pPr>
    </w:p>
    <w:p w:rsidR="0086451C" w:rsidP="0086451C" w:rsidRDefault="0086451C">
      <w:pPr>
        <w:jc w:val="both"/>
        <w:rPr>
          <w:rFonts w:cstheme="minorHAnsi"/>
          <w:color w:val="000000"/>
        </w:rPr>
      </w:pPr>
    </w:p>
    <w:p w:rsidRPr="001A4BC8" w:rsidR="0086451C" w:rsidP="0086451C" w:rsidRDefault="0086451C">
      <w:pPr>
        <w:jc w:val="both"/>
        <w:rPr>
          <w:rFonts w:cstheme="minorHAnsi"/>
          <w:b/>
          <w:color w:val="000000"/>
          <w:u w:val="single"/>
        </w:rPr>
      </w:pPr>
      <w:r w:rsidRPr="001A4BC8">
        <w:rPr>
          <w:rFonts w:cstheme="minorHAnsi"/>
          <w:b/>
          <w:color w:val="000000"/>
          <w:u w:val="single"/>
        </w:rPr>
        <w:lastRenderedPageBreak/>
        <w:t xml:space="preserve">V. Požadavky na prokázání základních kvalifikačních kritérií.  </w:t>
      </w:r>
    </w:p>
    <w:p w:rsidRPr="001A4BC8" w:rsidR="0086451C" w:rsidP="0086451C" w:rsidRDefault="0086451C">
      <w:pPr>
        <w:jc w:val="both"/>
        <w:rPr>
          <w:rFonts w:cstheme="minorHAnsi"/>
          <w:color w:val="000000"/>
        </w:rPr>
      </w:pPr>
      <w:r w:rsidRPr="001A4BC8">
        <w:rPr>
          <w:rFonts w:cstheme="minorHAnsi"/>
          <w:color w:val="000000"/>
        </w:rPr>
        <w:t xml:space="preserve">Zadavatel požaduje prokázat základní kvalifikační předpoklady </w:t>
      </w:r>
      <w:r>
        <w:rPr>
          <w:rFonts w:cstheme="minorHAnsi"/>
          <w:color w:val="000000"/>
        </w:rPr>
        <w:t>dodavatele subsidiárně</w:t>
      </w:r>
      <w:r w:rsidRPr="001A4BC8">
        <w:rPr>
          <w:rFonts w:cstheme="minorHAnsi"/>
          <w:color w:val="000000"/>
        </w:rPr>
        <w:t xml:space="preserve"> v rozsahu uvedeném v § 53 odst. 1 zákona o veřejných zakázkách. Splnění základních kvalifikačních předpokladů zadavatel požaduje prokázat </w:t>
      </w:r>
      <w:r>
        <w:rPr>
          <w:rFonts w:cstheme="minorHAnsi"/>
          <w:color w:val="000000"/>
        </w:rPr>
        <w:t xml:space="preserve">subsidiárně </w:t>
      </w:r>
      <w:r w:rsidRPr="001A4BC8">
        <w:rPr>
          <w:rFonts w:cstheme="minorHAnsi"/>
          <w:color w:val="000000"/>
        </w:rPr>
        <w:t xml:space="preserve">postupem podle § 62 odst. 2 zákona, viz příloha č. 2. </w:t>
      </w:r>
    </w:p>
    <w:p w:rsidRPr="001A4BC8" w:rsidR="0086451C" w:rsidP="0086451C" w:rsidRDefault="0086451C">
      <w:pPr>
        <w:jc w:val="both"/>
        <w:rPr>
          <w:rFonts w:cstheme="minorHAnsi"/>
          <w:color w:val="000000"/>
        </w:rPr>
      </w:pPr>
    </w:p>
    <w:p w:rsidRPr="001A4BC8" w:rsidR="0086451C" w:rsidP="0086451C" w:rsidRDefault="0086451C">
      <w:pPr>
        <w:jc w:val="both"/>
        <w:rPr>
          <w:rFonts w:cstheme="minorHAnsi"/>
          <w:b/>
          <w:color w:val="000000"/>
          <w:u w:val="single"/>
        </w:rPr>
      </w:pPr>
      <w:r w:rsidRPr="001A4BC8">
        <w:rPr>
          <w:rFonts w:cstheme="minorHAnsi"/>
          <w:b/>
          <w:color w:val="000000"/>
          <w:u w:val="single"/>
        </w:rPr>
        <w:t>VI. Profesní kvalifikační předpoklady.</w:t>
      </w:r>
    </w:p>
    <w:p w:rsidRPr="001A4BC8" w:rsidR="0086451C" w:rsidP="0086451C" w:rsidRDefault="0086451C">
      <w:pPr>
        <w:jc w:val="both"/>
        <w:rPr>
          <w:rFonts w:cstheme="minorHAnsi"/>
          <w:b/>
          <w:color w:val="000000"/>
          <w:u w:val="single"/>
        </w:rPr>
      </w:pPr>
      <w:r w:rsidRPr="001A4BC8">
        <w:rPr>
          <w:rFonts w:cstheme="minorHAnsi"/>
          <w:color w:val="000000"/>
        </w:rPr>
        <w:t>Splnění profesních kvalifikačních předpokladů prokáže dodavatel, který předloží</w:t>
      </w:r>
    </w:p>
    <w:p w:rsidRPr="001A4BC8"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1A4BC8">
        <w:rPr>
          <w:rFonts w:asciiTheme="minorHAnsi" w:hAnsiTheme="minorHAnsi" w:cstheme="minorHAnsi"/>
          <w:color w:val="000000"/>
          <w:sz w:val="22"/>
          <w:szCs w:val="22"/>
        </w:rPr>
        <w:t>výpis z obchodního rejstříku nebo jiný obdobný doklad o právní subjektivitě – prostá kopie,</w:t>
      </w:r>
    </w:p>
    <w:p w:rsidRPr="001A4BC8"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1A4BC8">
        <w:rPr>
          <w:rFonts w:asciiTheme="minorHAnsi" w:hAnsiTheme="minorHAnsi" w:cstheme="minorHAnsi"/>
          <w:color w:val="000000"/>
          <w:sz w:val="22"/>
          <w:szCs w:val="22"/>
        </w:rPr>
        <w:t>doklad o oprávnění k podnikání – prostá kopie,</w:t>
      </w:r>
    </w:p>
    <w:p w:rsidRPr="00FA65A3" w:rsidR="0086451C" w:rsidP="0086451C" w:rsidRDefault="0086451C">
      <w:pPr>
        <w:pStyle w:val="Odstavecseseznamem"/>
        <w:numPr>
          <w:ilvl w:val="0"/>
          <w:numId w:val="2"/>
        </w:numPr>
        <w:spacing w:line="276" w:lineRule="auto"/>
        <w:jc w:val="both"/>
        <w:rPr>
          <w:rFonts w:cstheme="minorHAnsi"/>
          <w:b/>
          <w:color w:val="000000"/>
          <w:u w:val="single"/>
        </w:rPr>
      </w:pPr>
      <w:r w:rsidRPr="00FA65A3">
        <w:rPr>
          <w:rFonts w:asciiTheme="minorHAnsi" w:hAnsiTheme="minorHAnsi" w:cstheme="minorHAnsi"/>
          <w:color w:val="000000"/>
          <w:sz w:val="22"/>
          <w:szCs w:val="22"/>
        </w:rPr>
        <w:t xml:space="preserve">doklad osvědčující odbornou způsobilost dodavatele – prostá kopie. Jedná se o doklad </w:t>
      </w:r>
      <w:r w:rsidRPr="009912C2">
        <w:rPr>
          <w:rFonts w:asciiTheme="minorHAnsi" w:hAnsiTheme="minorHAnsi" w:cstheme="minorHAnsi"/>
          <w:color w:val="000000"/>
          <w:sz w:val="22"/>
          <w:szCs w:val="22"/>
        </w:rPr>
        <w:t>podle § 108 odst. 2 písm. a) nebo c) zákona č.  435/2004 Sb., o zaměstnanosti, ve znění pozdě</w:t>
      </w:r>
      <w:r w:rsidRPr="00FA65A3">
        <w:rPr>
          <w:rFonts w:asciiTheme="minorHAnsi" w:hAnsiTheme="minorHAnsi" w:cstheme="minorHAnsi"/>
          <w:color w:val="000000"/>
          <w:sz w:val="22"/>
          <w:szCs w:val="22"/>
        </w:rPr>
        <w:t xml:space="preserve">jších předpisů. Doložte buď akreditaci pro realizaci rekvalifikace na pracovní činnost </w:t>
      </w:r>
      <w:r>
        <w:rPr>
          <w:rFonts w:asciiTheme="minorHAnsi" w:hAnsiTheme="minorHAnsi" w:cstheme="minorHAnsi"/>
          <w:color w:val="000000"/>
          <w:sz w:val="22"/>
          <w:szCs w:val="22"/>
        </w:rPr>
        <w:t>Bourání masa</w:t>
      </w:r>
      <w:r w:rsidRPr="00FA65A3">
        <w:rPr>
          <w:rFonts w:asciiTheme="minorHAnsi" w:hAnsiTheme="minorHAnsi" w:cstheme="minorHAnsi"/>
          <w:color w:val="000000"/>
          <w:sz w:val="22"/>
          <w:szCs w:val="22"/>
        </w:rPr>
        <w:t>, udělenou Ministerstvem školství, mládeže a tělovýchovy podle vyhlášky č. 176/2009 Sb., kterou se stanoví náležitosti žádosti o akreditaci vzdělávacího programu, organizace vzdělávání v rekvalifikačních zařízení</w:t>
      </w:r>
      <w:r w:rsidRPr="00FA65A3">
        <w:rPr>
          <w:rFonts w:asciiTheme="minorHAnsi" w:hAnsiTheme="minorHAnsi" w:cstheme="minorHAnsi"/>
          <w:color w:val="000000" w:themeColor="text1"/>
          <w:sz w:val="22"/>
          <w:szCs w:val="22"/>
        </w:rPr>
        <w:t>ch</w:t>
      </w:r>
      <w:r w:rsidRPr="00FA65A3">
        <w:rPr>
          <w:rFonts w:asciiTheme="minorHAnsi" w:hAnsiTheme="minorHAnsi" w:cstheme="minorHAnsi"/>
          <w:color w:val="000000"/>
          <w:sz w:val="22"/>
          <w:szCs w:val="22"/>
        </w:rPr>
        <w:t xml:space="preserve"> a způsob jeho ukončení, ve znění pozdějších předpisů, nebo výpis z rejstříku škol a školských zařízení, v němž je zapsán obor </w:t>
      </w:r>
      <w:r>
        <w:rPr>
          <w:rFonts w:asciiTheme="minorHAnsi" w:hAnsiTheme="minorHAnsi" w:cstheme="minorHAnsi"/>
          <w:color w:val="000000"/>
          <w:sz w:val="22"/>
          <w:szCs w:val="22"/>
        </w:rPr>
        <w:t>Řezník-uzenář 29-56-H/01</w:t>
      </w:r>
      <w:r w:rsidRPr="00FA65A3">
        <w:rPr>
          <w:rFonts w:asciiTheme="minorHAnsi" w:hAnsiTheme="minorHAnsi" w:cstheme="minorHAnsi"/>
          <w:color w:val="000000"/>
          <w:sz w:val="22"/>
          <w:szCs w:val="22"/>
        </w:rPr>
        <w:t xml:space="preserve">. Doklad o udělené autorizaci podle zákona č. 179/2006 Sb., o ověřování a uznávání výsledků dalšího vzdělávání a o změně některých zákonů, ve znění pozdějších předpisů, není pro prokázání kvalifikace dodavatele dostačující. Dodavatel jej může doložit, aby prokázal, že profesní zkoušku, jíž musí být rekvalifikace ukončena, je oprávněn zajistit sám, a nebude k tomu účelu využívat subdodavatele.   </w:t>
      </w:r>
    </w:p>
    <w:p w:rsidRPr="0019359C" w:rsidR="0086451C" w:rsidP="0086451C" w:rsidRDefault="0086451C">
      <w:pPr>
        <w:jc w:val="both"/>
        <w:rPr>
          <w:rFonts w:cstheme="minorHAnsi"/>
          <w:b/>
          <w:color w:val="000000"/>
          <w:u w:val="single"/>
        </w:rPr>
      </w:pPr>
    </w:p>
    <w:p w:rsidR="0086451C" w:rsidP="0086451C" w:rsidRDefault="0086451C">
      <w:pPr>
        <w:jc w:val="both"/>
        <w:rPr>
          <w:rFonts w:cstheme="minorHAnsi"/>
          <w:b/>
          <w:color w:val="000000"/>
          <w:u w:val="single"/>
        </w:rPr>
      </w:pPr>
      <w:r w:rsidRPr="001A4BC8">
        <w:rPr>
          <w:rFonts w:cstheme="minorHAnsi"/>
          <w:b/>
          <w:color w:val="000000"/>
          <w:u w:val="single"/>
        </w:rPr>
        <w:t>VII. Způsob zpracování nabídky a dokladů k prokázání kvalifikace.</w:t>
      </w:r>
    </w:p>
    <w:p w:rsidRPr="00D26383"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D26383">
        <w:rPr>
          <w:rFonts w:asciiTheme="minorHAnsi" w:hAnsiTheme="minorHAnsi" w:cstheme="minorHAnsi"/>
          <w:color w:val="000000"/>
          <w:sz w:val="22"/>
          <w:szCs w:val="22"/>
        </w:rPr>
        <w:t xml:space="preserve">Každý </w:t>
      </w:r>
      <w:r>
        <w:rPr>
          <w:rFonts w:asciiTheme="minorHAnsi" w:hAnsiTheme="minorHAnsi" w:cstheme="minorHAnsi"/>
          <w:color w:val="000000"/>
          <w:sz w:val="22"/>
          <w:szCs w:val="22"/>
        </w:rPr>
        <w:t>dodavatel</w:t>
      </w:r>
      <w:r w:rsidRPr="00D26383">
        <w:rPr>
          <w:rFonts w:asciiTheme="minorHAnsi" w:hAnsiTheme="minorHAnsi" w:cstheme="minorHAnsi"/>
          <w:color w:val="000000"/>
          <w:sz w:val="22"/>
          <w:szCs w:val="22"/>
        </w:rPr>
        <w:t xml:space="preserve"> může podat pouze jednu nabídku.</w:t>
      </w:r>
    </w:p>
    <w:p w:rsidRPr="00FF18BA"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Dodavatel</w:t>
      </w:r>
      <w:r w:rsidRPr="00FF18BA">
        <w:rPr>
          <w:rFonts w:asciiTheme="minorHAnsi" w:hAnsiTheme="minorHAnsi" w:cstheme="minorHAnsi"/>
          <w:color w:val="000000"/>
          <w:sz w:val="22"/>
          <w:szCs w:val="22"/>
        </w:rPr>
        <w:t xml:space="preserve"> je povinen předložit svoji nabídku na plnění veřejné zakázky v písemné formě, v českém jazyce a musí být podepsána osobou (osobami) oprávněnou (oprávněnými) zastupovat dodavatele (</w:t>
      </w:r>
      <w:r w:rsidRPr="00B50F22">
        <w:rPr>
          <w:rFonts w:cs="Arial" w:asciiTheme="minorHAnsi" w:hAnsiTheme="minorHAnsi"/>
          <w:sz w:val="22"/>
          <w:szCs w:val="22"/>
        </w:rPr>
        <w:t xml:space="preserve">statutárním orgánem nebo osobou k tomu statutárním orgánem zmocněnou v souladu se způsobem zastupování </w:t>
      </w:r>
      <w:r>
        <w:rPr>
          <w:rFonts w:cs="Arial" w:asciiTheme="minorHAnsi" w:hAnsiTheme="minorHAnsi"/>
          <w:sz w:val="22"/>
          <w:szCs w:val="22"/>
        </w:rPr>
        <w:t>dodavatele</w:t>
      </w:r>
      <w:r w:rsidRPr="00B50F22">
        <w:rPr>
          <w:rFonts w:cs="Arial" w:asciiTheme="minorHAnsi" w:hAnsiTheme="minorHAnsi"/>
          <w:sz w:val="22"/>
          <w:szCs w:val="22"/>
        </w:rPr>
        <w:t>)</w:t>
      </w:r>
      <w:r w:rsidRPr="00FF18BA">
        <w:rPr>
          <w:rFonts w:asciiTheme="minorHAnsi" w:hAnsiTheme="minorHAnsi" w:cstheme="minorHAnsi"/>
          <w:color w:val="000000"/>
          <w:sz w:val="22"/>
          <w:szCs w:val="22"/>
        </w:rPr>
        <w:t>.</w:t>
      </w:r>
    </w:p>
    <w:p w:rsidRPr="001A4BC8"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1A4BC8">
        <w:rPr>
          <w:rFonts w:asciiTheme="minorHAnsi" w:hAnsiTheme="minorHAnsi" w:cstheme="minorHAnsi"/>
          <w:color w:val="000000"/>
          <w:sz w:val="22"/>
          <w:szCs w:val="22"/>
        </w:rPr>
        <w:t xml:space="preserve">Veškeré doklady či prohlášení, u nichž je vyžadován podpis </w:t>
      </w:r>
      <w:r>
        <w:rPr>
          <w:rFonts w:asciiTheme="minorHAnsi" w:hAnsiTheme="minorHAnsi" w:cstheme="minorHAnsi"/>
          <w:color w:val="000000"/>
          <w:sz w:val="22"/>
          <w:szCs w:val="22"/>
        </w:rPr>
        <w:t>dodavatele</w:t>
      </w:r>
      <w:r w:rsidRPr="001A4BC8">
        <w:rPr>
          <w:rFonts w:asciiTheme="minorHAnsi" w:hAnsiTheme="minorHAnsi" w:cstheme="minorHAnsi"/>
          <w:color w:val="000000"/>
          <w:sz w:val="22"/>
          <w:szCs w:val="22"/>
        </w:rPr>
        <w:t xml:space="preserve">, musí být podepsány statutárním orgánem </w:t>
      </w:r>
      <w:r>
        <w:rPr>
          <w:rFonts w:asciiTheme="minorHAnsi" w:hAnsiTheme="minorHAnsi" w:cstheme="minorHAnsi"/>
          <w:color w:val="000000"/>
          <w:sz w:val="22"/>
          <w:szCs w:val="22"/>
        </w:rPr>
        <w:t>dodavatele</w:t>
      </w:r>
      <w:r w:rsidRPr="001A4BC8">
        <w:rPr>
          <w:rFonts w:asciiTheme="minorHAnsi" w:hAnsiTheme="minorHAnsi" w:cstheme="minorHAnsi"/>
          <w:color w:val="000000"/>
          <w:sz w:val="22"/>
          <w:szCs w:val="22"/>
        </w:rPr>
        <w:t xml:space="preserve"> nebo osobou oprávněnou </w:t>
      </w:r>
      <w:r>
        <w:rPr>
          <w:rFonts w:asciiTheme="minorHAnsi" w:hAnsiTheme="minorHAnsi" w:cstheme="minorHAnsi"/>
          <w:color w:val="000000"/>
          <w:sz w:val="22"/>
          <w:szCs w:val="22"/>
        </w:rPr>
        <w:t>zastupovat</w:t>
      </w:r>
      <w:r w:rsidRPr="001A4BC8">
        <w:rPr>
          <w:rFonts w:asciiTheme="minorHAnsi" w:hAnsiTheme="minorHAnsi" w:cstheme="minorHAnsi"/>
          <w:color w:val="000000"/>
          <w:sz w:val="22"/>
          <w:szCs w:val="22"/>
        </w:rPr>
        <w:t xml:space="preserve"> </w:t>
      </w:r>
      <w:r>
        <w:rPr>
          <w:rFonts w:asciiTheme="minorHAnsi" w:hAnsiTheme="minorHAnsi" w:cstheme="minorHAnsi"/>
          <w:color w:val="000000"/>
          <w:sz w:val="22"/>
          <w:szCs w:val="22"/>
        </w:rPr>
        <w:t>dodavatele</w:t>
      </w:r>
      <w:r w:rsidRPr="001A4BC8">
        <w:rPr>
          <w:rFonts w:asciiTheme="minorHAnsi" w:hAnsiTheme="minorHAnsi" w:cstheme="minorHAnsi"/>
          <w:color w:val="000000"/>
          <w:sz w:val="22"/>
          <w:szCs w:val="22"/>
        </w:rPr>
        <w:t xml:space="preserve">.  </w:t>
      </w:r>
    </w:p>
    <w:p w:rsidRPr="001A4BC8"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1A4BC8">
        <w:rPr>
          <w:rFonts w:asciiTheme="minorHAnsi" w:hAnsiTheme="minorHAnsi" w:cstheme="minorHAnsi"/>
          <w:color w:val="000000"/>
          <w:sz w:val="22"/>
          <w:szCs w:val="22"/>
        </w:rPr>
        <w:t xml:space="preserve">Nabídka musí obsahovat identifikační údaje o </w:t>
      </w:r>
      <w:r>
        <w:rPr>
          <w:rFonts w:asciiTheme="minorHAnsi" w:hAnsiTheme="minorHAnsi" w:cstheme="minorHAnsi"/>
          <w:color w:val="000000"/>
          <w:sz w:val="22"/>
          <w:szCs w:val="22"/>
        </w:rPr>
        <w:t>dodavateli</w:t>
      </w:r>
      <w:r w:rsidRPr="001A4BC8">
        <w:rPr>
          <w:rFonts w:asciiTheme="minorHAnsi" w:hAnsiTheme="minorHAnsi" w:cstheme="minorHAnsi"/>
          <w:color w:val="000000"/>
          <w:sz w:val="22"/>
          <w:szCs w:val="22"/>
        </w:rPr>
        <w:t xml:space="preserve"> v tomto členění: obchodní jméno </w:t>
      </w:r>
      <w:r>
        <w:rPr>
          <w:rFonts w:asciiTheme="minorHAnsi" w:hAnsiTheme="minorHAnsi" w:cstheme="minorHAnsi"/>
          <w:color w:val="000000"/>
          <w:sz w:val="22"/>
          <w:szCs w:val="22"/>
        </w:rPr>
        <w:t>dodavatele</w:t>
      </w:r>
      <w:r w:rsidRPr="001A4BC8">
        <w:rPr>
          <w:rFonts w:asciiTheme="minorHAnsi" w:hAnsiTheme="minorHAnsi" w:cstheme="minorHAnsi"/>
          <w:color w:val="000000"/>
          <w:sz w:val="22"/>
          <w:szCs w:val="22"/>
        </w:rPr>
        <w:t xml:space="preserve"> (v případě fyzické osoby jméno, příjmení, případně obchodní firma), právní forma </w:t>
      </w:r>
      <w:r>
        <w:rPr>
          <w:rFonts w:asciiTheme="minorHAnsi" w:hAnsiTheme="minorHAnsi" w:cstheme="minorHAnsi"/>
          <w:color w:val="000000"/>
          <w:sz w:val="22"/>
          <w:szCs w:val="22"/>
        </w:rPr>
        <w:t>dodavatel</w:t>
      </w:r>
      <w:r w:rsidRPr="001A4BC8">
        <w:rPr>
          <w:rFonts w:asciiTheme="minorHAnsi" w:hAnsiTheme="minorHAnsi" w:cstheme="minorHAnsi"/>
          <w:color w:val="000000"/>
          <w:sz w:val="22"/>
          <w:szCs w:val="22"/>
        </w:rPr>
        <w:t xml:space="preserve">e (a.s., s.r.o., fyzická osoba, apod.), u fyzické osoby musí být uvedeno též rodné číslo nebo datum narození, sídlo </w:t>
      </w:r>
      <w:r>
        <w:rPr>
          <w:rFonts w:asciiTheme="minorHAnsi" w:hAnsiTheme="minorHAnsi" w:cstheme="minorHAnsi"/>
          <w:color w:val="000000"/>
          <w:sz w:val="22"/>
          <w:szCs w:val="22"/>
        </w:rPr>
        <w:t>dodavatele</w:t>
      </w:r>
      <w:r w:rsidRPr="001A4BC8">
        <w:rPr>
          <w:rFonts w:asciiTheme="minorHAnsi" w:hAnsiTheme="minorHAnsi" w:cstheme="minorHAnsi"/>
          <w:color w:val="000000"/>
          <w:sz w:val="22"/>
          <w:szCs w:val="22"/>
        </w:rPr>
        <w:t xml:space="preserve"> (v případě fyzické osoby bydliště, případně místo podnikání, je-li odlišné od bydliště), identifikační číslo a daňové identifikační číslo, bylo-li přiděleno, jméno a příjmení statutárního orgánu nebo jeho členů, případně jiné fyzické osoby oprávněné </w:t>
      </w:r>
      <w:r>
        <w:rPr>
          <w:rFonts w:asciiTheme="minorHAnsi" w:hAnsiTheme="minorHAnsi" w:cstheme="minorHAnsi"/>
          <w:color w:val="000000"/>
          <w:sz w:val="22"/>
          <w:szCs w:val="22"/>
        </w:rPr>
        <w:t>zastupovat dodavatele</w:t>
      </w:r>
      <w:r w:rsidRPr="001A4BC8">
        <w:rPr>
          <w:rFonts w:asciiTheme="minorHAnsi" w:hAnsiTheme="minorHAnsi" w:cstheme="minorHAnsi"/>
          <w:color w:val="000000"/>
          <w:sz w:val="22"/>
          <w:szCs w:val="22"/>
        </w:rPr>
        <w:t xml:space="preserve">, číslo telefonu a faxu zájemce, bankovní spojení a číslo účtu </w:t>
      </w:r>
      <w:r>
        <w:rPr>
          <w:rFonts w:asciiTheme="minorHAnsi" w:hAnsiTheme="minorHAnsi" w:cstheme="minorHAnsi"/>
          <w:color w:val="000000"/>
          <w:sz w:val="22"/>
          <w:szCs w:val="22"/>
        </w:rPr>
        <w:t>dodavatel</w:t>
      </w:r>
      <w:r w:rsidRPr="001A4BC8">
        <w:rPr>
          <w:rFonts w:asciiTheme="minorHAnsi" w:hAnsiTheme="minorHAnsi" w:cstheme="minorHAnsi"/>
          <w:color w:val="000000"/>
          <w:sz w:val="22"/>
          <w:szCs w:val="22"/>
        </w:rPr>
        <w:t>e</w:t>
      </w:r>
      <w:r>
        <w:rPr>
          <w:rFonts w:asciiTheme="minorHAnsi" w:hAnsiTheme="minorHAnsi" w:cstheme="minorHAnsi"/>
          <w:color w:val="000000"/>
          <w:sz w:val="22"/>
          <w:szCs w:val="22"/>
        </w:rPr>
        <w:t>. Dodavatel výše uvedené splní vyplněním přílohy č. 1 „Krycí list nabídky“.</w:t>
      </w:r>
      <w:r w:rsidRPr="001A4BC8">
        <w:rPr>
          <w:rFonts w:asciiTheme="minorHAnsi" w:hAnsiTheme="minorHAnsi" w:cstheme="minorHAnsi"/>
          <w:color w:val="000000"/>
          <w:sz w:val="22"/>
          <w:szCs w:val="22"/>
        </w:rPr>
        <w:t xml:space="preserve"> </w:t>
      </w:r>
    </w:p>
    <w:p w:rsidRPr="00B50F22" w:rsidR="0086451C" w:rsidP="0086451C" w:rsidRDefault="0086451C">
      <w:pPr>
        <w:pStyle w:val="Odstavecseseznamem"/>
        <w:numPr>
          <w:ilvl w:val="0"/>
          <w:numId w:val="2"/>
        </w:numPr>
        <w:spacing w:line="276" w:lineRule="auto"/>
        <w:jc w:val="both"/>
        <w:rPr>
          <w:rFonts w:cstheme="minorHAnsi"/>
          <w:color w:val="000000"/>
        </w:rPr>
      </w:pPr>
      <w:r w:rsidRPr="00A418AC">
        <w:rPr>
          <w:rFonts w:asciiTheme="minorHAnsi" w:hAnsiTheme="minorHAnsi" w:cstheme="minorHAnsi"/>
          <w:color w:val="000000"/>
          <w:sz w:val="22"/>
          <w:szCs w:val="22"/>
        </w:rPr>
        <w:t xml:space="preserve">Součástí nabídky musí být </w:t>
      </w:r>
      <w:r w:rsidRPr="00A418AC">
        <w:rPr>
          <w:rFonts w:asciiTheme="minorHAnsi" w:hAnsiTheme="minorHAnsi" w:cstheme="minorHAnsi"/>
          <w:b/>
          <w:color w:val="000000"/>
          <w:sz w:val="22"/>
          <w:szCs w:val="22"/>
        </w:rPr>
        <w:t>formulář Nabídka zabezpečení rekvalifikace a formulář Kalkulace nákladů rekvalifikace</w:t>
      </w:r>
      <w:r w:rsidRPr="00A418AC">
        <w:rPr>
          <w:rFonts w:asciiTheme="minorHAnsi" w:hAnsiTheme="minorHAnsi" w:cstheme="minorHAnsi"/>
          <w:color w:val="000000"/>
          <w:sz w:val="22"/>
          <w:szCs w:val="22"/>
        </w:rPr>
        <w:t xml:space="preserve">, (oba podepsané osobou oprávněnou </w:t>
      </w:r>
      <w:r>
        <w:rPr>
          <w:rFonts w:asciiTheme="minorHAnsi" w:hAnsiTheme="minorHAnsi" w:cstheme="minorHAnsi"/>
          <w:color w:val="000000"/>
          <w:sz w:val="22"/>
          <w:szCs w:val="22"/>
        </w:rPr>
        <w:t>zastupovat</w:t>
      </w:r>
      <w:r w:rsidRPr="00A418AC">
        <w:rPr>
          <w:rFonts w:asciiTheme="minorHAnsi" w:hAnsiTheme="minorHAnsi" w:cstheme="minorHAnsi"/>
          <w:color w:val="000000"/>
          <w:sz w:val="22"/>
          <w:szCs w:val="22"/>
        </w:rPr>
        <w:t xml:space="preserve"> </w:t>
      </w:r>
      <w:r>
        <w:rPr>
          <w:rFonts w:asciiTheme="minorHAnsi" w:hAnsiTheme="minorHAnsi" w:cstheme="minorHAnsi"/>
          <w:color w:val="000000"/>
          <w:sz w:val="22"/>
          <w:szCs w:val="22"/>
        </w:rPr>
        <w:t>dodavatele</w:t>
      </w:r>
      <w:r w:rsidRPr="00A418AC">
        <w:rPr>
          <w:rFonts w:asciiTheme="minorHAnsi" w:hAnsiTheme="minorHAnsi" w:cstheme="minorHAnsi"/>
          <w:color w:val="000000"/>
          <w:sz w:val="22"/>
          <w:szCs w:val="22"/>
        </w:rPr>
        <w:t xml:space="preserve">) - originál. Oba formuláře jsou dostupné ke stažení na stránkách </w:t>
      </w:r>
      <w:hyperlink w:history="true" r:id="rId12">
        <w:r w:rsidRPr="008D1657">
          <w:rPr>
            <w:rStyle w:val="Hypertextovodkaz"/>
            <w:rFonts w:asciiTheme="minorHAnsi" w:hAnsiTheme="minorHAnsi" w:cstheme="minorHAnsi"/>
            <w:sz w:val="22"/>
            <w:szCs w:val="22"/>
          </w:rPr>
          <w:t>http://portal.mpsv.cz/upcr/kp/olk/poradenstvi</w:t>
        </w:r>
      </w:hyperlink>
      <w:r>
        <w:rPr>
          <w:rStyle w:val="Hypertextovodkaz"/>
          <w:rFonts w:asciiTheme="minorHAnsi" w:hAnsiTheme="minorHAnsi" w:cstheme="minorHAnsi"/>
          <w:sz w:val="22"/>
          <w:szCs w:val="22"/>
        </w:rPr>
        <w:t xml:space="preserve"> v části nazvané</w:t>
      </w:r>
      <w:r w:rsidRPr="008D1657">
        <w:rPr>
          <w:rFonts w:asciiTheme="minorHAnsi" w:hAnsiTheme="minorHAnsi" w:cstheme="minorHAnsi"/>
          <w:sz w:val="22"/>
          <w:szCs w:val="22"/>
        </w:rPr>
        <w:t xml:space="preserve"> For</w:t>
      </w:r>
      <w:r w:rsidRPr="00A418AC">
        <w:rPr>
          <w:rFonts w:asciiTheme="minorHAnsi" w:hAnsiTheme="minorHAnsi" w:cstheme="minorHAnsi"/>
          <w:color w:val="000000"/>
          <w:sz w:val="22"/>
          <w:szCs w:val="22"/>
        </w:rPr>
        <w:t xml:space="preserve">muláře. Formuláře musí </w:t>
      </w:r>
      <w:r w:rsidRPr="00A418AC">
        <w:rPr>
          <w:rFonts w:asciiTheme="minorHAnsi" w:hAnsiTheme="minorHAnsi" w:cstheme="minorHAnsi"/>
          <w:color w:val="000000"/>
          <w:sz w:val="22"/>
          <w:szCs w:val="22"/>
        </w:rPr>
        <w:lastRenderedPageBreak/>
        <w:t>být vyplněny dle přiložených metodických návodů. Formulář Kalkulace nákladů rekvalifikace musí být vyplněn tak, aby ve všech řádcích uváděl náklady za pouze 1 účastníka rekvalifikace. Kalkulace nákladů rekvalifikace musí mj. zahrnout veškeré náklady na přímý materiál nutný pro účast v rekvalifikaci dle pracovní činnosti, na kterou je rekvalifikace zaměřena (ř. č. 1, 1a, 1b a 1c formuláře), včetně ochranného pracovního oděvu a obuvi tak, aby si účastník rekvalifikace nemusel žádné vybavení nutné pro účast v rekvalifikaci pořizovat z vlastních zdrojů nebo na vlastní náklady.</w:t>
      </w:r>
    </w:p>
    <w:p w:rsidRPr="003E34A1" w:rsidR="0086451C" w:rsidP="0086451C" w:rsidRDefault="0086451C">
      <w:pPr>
        <w:pStyle w:val="Odstavecseseznamem"/>
        <w:numPr>
          <w:ilvl w:val="0"/>
          <w:numId w:val="2"/>
        </w:numPr>
        <w:spacing w:line="276" w:lineRule="auto"/>
        <w:jc w:val="both"/>
        <w:rPr>
          <w:rStyle w:val="Hypertextovodkaz"/>
          <w:rFonts w:asciiTheme="minorHAnsi" w:hAnsiTheme="minorHAnsi" w:cstheme="minorHAnsi"/>
          <w:sz w:val="22"/>
          <w:szCs w:val="22"/>
        </w:rPr>
      </w:pPr>
      <w:r w:rsidRPr="00B50F22">
        <w:rPr>
          <w:rFonts w:asciiTheme="minorHAnsi" w:hAnsiTheme="minorHAnsi" w:cstheme="minorHAnsi"/>
          <w:sz w:val="22"/>
          <w:szCs w:val="22"/>
        </w:rPr>
        <w:t xml:space="preserve">Vaši nabídku předkládejte jako jeden pevně spojený dokument, označený na titulní </w:t>
      </w:r>
      <w:proofErr w:type="gramStart"/>
      <w:r w:rsidRPr="00B50F22">
        <w:rPr>
          <w:rFonts w:asciiTheme="minorHAnsi" w:hAnsiTheme="minorHAnsi" w:cstheme="minorHAnsi"/>
          <w:sz w:val="22"/>
          <w:szCs w:val="22"/>
        </w:rPr>
        <w:t>straně           logy</w:t>
      </w:r>
      <w:proofErr w:type="gramEnd"/>
      <w:r w:rsidRPr="00B50F22">
        <w:rPr>
          <w:rFonts w:asciiTheme="minorHAnsi" w:hAnsiTheme="minorHAnsi" w:cstheme="minorHAnsi"/>
          <w:sz w:val="22"/>
          <w:szCs w:val="22"/>
        </w:rPr>
        <w:t xml:space="preserve"> operačního programu Lidské zdroje a zaměstnanost (stejně je označena tato výzva).  Pokud Váš dokument nebude černobílý, použijte k jeho označení barevnou variantu log, která je ke stažení v tzv. Manuálu pro publicitu, verze 1.6, kapitola 3.1 Řazení log, s. 10 zcela dole. Manuál pro publicitu je k dispozici na </w:t>
      </w:r>
      <w:hyperlink w:history="true" r:id="rId13">
        <w:r w:rsidRPr="003E34A1">
          <w:rPr>
            <w:rStyle w:val="Hypertextovodkaz"/>
            <w:rFonts w:asciiTheme="minorHAnsi" w:hAnsiTheme="minorHAnsi" w:cstheme="minorHAnsi"/>
            <w:sz w:val="22"/>
            <w:szCs w:val="22"/>
          </w:rPr>
          <w:t>http://www.esfcr.cz/file/7995/</w:t>
        </w:r>
      </w:hyperlink>
      <w:r>
        <w:rPr>
          <w:rStyle w:val="Hypertextovodkaz"/>
          <w:rFonts w:asciiTheme="minorHAnsi" w:hAnsiTheme="minorHAnsi" w:cstheme="minorHAnsi"/>
          <w:sz w:val="22"/>
          <w:szCs w:val="22"/>
        </w:rPr>
        <w:t>.</w:t>
      </w:r>
    </w:p>
    <w:p w:rsidR="0086451C" w:rsidP="0086451C" w:rsidRDefault="0086451C">
      <w:pPr>
        <w:rPr>
          <w:rFonts w:cstheme="minorHAnsi"/>
          <w:b/>
          <w:color w:val="000000"/>
          <w:u w:val="single"/>
        </w:rPr>
      </w:pPr>
    </w:p>
    <w:p w:rsidRPr="001A4BC8" w:rsidR="0086451C" w:rsidP="0086451C" w:rsidRDefault="0086451C">
      <w:pPr>
        <w:jc w:val="both"/>
        <w:rPr>
          <w:rFonts w:cstheme="minorHAnsi"/>
          <w:b/>
          <w:color w:val="000000"/>
          <w:u w:val="single"/>
        </w:rPr>
      </w:pPr>
      <w:r w:rsidRPr="001A4BC8">
        <w:rPr>
          <w:rFonts w:cstheme="minorHAnsi"/>
          <w:b/>
          <w:color w:val="000000"/>
          <w:u w:val="single"/>
        </w:rPr>
        <w:t>VIII. Kritéria pro hodnocení nabíd</w:t>
      </w:r>
      <w:r>
        <w:rPr>
          <w:rFonts w:cstheme="minorHAnsi"/>
          <w:b/>
          <w:color w:val="000000"/>
          <w:u w:val="single"/>
        </w:rPr>
        <w:t>e</w:t>
      </w:r>
      <w:r w:rsidRPr="001A4BC8">
        <w:rPr>
          <w:rFonts w:cstheme="minorHAnsi"/>
          <w:b/>
          <w:color w:val="000000"/>
          <w:u w:val="single"/>
        </w:rPr>
        <w:t xml:space="preserve">k. </w:t>
      </w:r>
    </w:p>
    <w:p w:rsidR="0086451C" w:rsidP="0086451C" w:rsidRDefault="0086451C">
      <w:pPr>
        <w:jc w:val="both"/>
        <w:rPr>
          <w:rFonts w:cstheme="minorHAnsi"/>
          <w:color w:val="000000"/>
        </w:rPr>
      </w:pPr>
      <w:r w:rsidRPr="00FE1771">
        <w:rPr>
          <w:rFonts w:cstheme="minorHAnsi"/>
          <w:color w:val="000000"/>
        </w:rPr>
        <w:t>Hodnocení a výběr nabídek provádí hodnotící komise.</w:t>
      </w:r>
    </w:p>
    <w:p w:rsidRPr="00B50F22" w:rsidR="0086451C" w:rsidP="0086451C" w:rsidRDefault="0086451C">
      <w:pPr>
        <w:pStyle w:val="Odstavecseseznamem"/>
        <w:numPr>
          <w:ilvl w:val="0"/>
          <w:numId w:val="2"/>
        </w:numPr>
        <w:spacing w:line="276" w:lineRule="auto"/>
        <w:jc w:val="both"/>
        <w:rPr>
          <w:rFonts w:asciiTheme="minorHAnsi" w:hAnsiTheme="minorHAnsi" w:cstheme="minorHAnsi"/>
          <w:b/>
          <w:color w:val="000000"/>
          <w:sz w:val="22"/>
          <w:szCs w:val="22"/>
        </w:rPr>
      </w:pPr>
      <w:r w:rsidRPr="00B50F22">
        <w:rPr>
          <w:rFonts w:asciiTheme="minorHAnsi" w:hAnsiTheme="minorHAnsi" w:cstheme="minorHAnsi"/>
          <w:b/>
          <w:color w:val="000000"/>
          <w:sz w:val="22"/>
          <w:szCs w:val="22"/>
        </w:rPr>
        <w:t>Základním kritériem hodnocení pro zadání veřejné zakázky je nejnižší nabídková cena v Kč bez DPH.</w:t>
      </w:r>
    </w:p>
    <w:p w:rsidRPr="00FE1771" w:rsidR="0086451C" w:rsidP="0086451C" w:rsidRDefault="0086451C">
      <w:pPr>
        <w:pStyle w:val="Odstavecseseznamem"/>
        <w:numPr>
          <w:ilvl w:val="0"/>
          <w:numId w:val="2"/>
        </w:numPr>
        <w:spacing w:before="120" w:line="276" w:lineRule="auto"/>
        <w:ind w:left="782" w:hanging="357"/>
        <w:jc w:val="both"/>
        <w:rPr>
          <w:rFonts w:asciiTheme="minorHAnsi" w:hAnsiTheme="minorHAnsi" w:cstheme="minorHAnsi"/>
          <w:color w:val="000000"/>
          <w:sz w:val="22"/>
          <w:szCs w:val="22"/>
        </w:rPr>
      </w:pPr>
      <w:r w:rsidRPr="00FE1771">
        <w:rPr>
          <w:rFonts w:asciiTheme="minorHAnsi" w:hAnsiTheme="minorHAnsi" w:cstheme="minorHAnsi"/>
          <w:color w:val="000000"/>
          <w:sz w:val="22"/>
          <w:szCs w:val="22"/>
        </w:rPr>
        <w:t xml:space="preserve">Nabídkovou cenou se rozumí částka </w:t>
      </w:r>
      <w:r>
        <w:rPr>
          <w:rFonts w:asciiTheme="minorHAnsi" w:hAnsiTheme="minorHAnsi" w:cstheme="minorHAnsi"/>
          <w:color w:val="000000"/>
          <w:sz w:val="22"/>
          <w:szCs w:val="22"/>
        </w:rPr>
        <w:t>za celý předpokládaný objem zakázky (20 účastníků kurzu).  N</w:t>
      </w:r>
      <w:r w:rsidRPr="00FE1771">
        <w:rPr>
          <w:rFonts w:asciiTheme="minorHAnsi" w:hAnsiTheme="minorHAnsi" w:cstheme="minorHAnsi"/>
          <w:color w:val="000000"/>
          <w:sz w:val="22"/>
          <w:szCs w:val="22"/>
        </w:rPr>
        <w:t>abídková cena bude stanovena jako cena nejvýše přípustná</w:t>
      </w:r>
      <w:r>
        <w:rPr>
          <w:rFonts w:asciiTheme="minorHAnsi" w:hAnsiTheme="minorHAnsi" w:cstheme="minorHAnsi"/>
          <w:color w:val="000000"/>
          <w:sz w:val="22"/>
          <w:szCs w:val="22"/>
        </w:rPr>
        <w:t xml:space="preserve">, </w:t>
      </w:r>
      <w:r w:rsidRPr="00FE1771">
        <w:rPr>
          <w:rFonts w:asciiTheme="minorHAnsi" w:hAnsiTheme="minorHAnsi" w:cstheme="minorHAnsi"/>
          <w:color w:val="000000"/>
          <w:sz w:val="22"/>
          <w:szCs w:val="22"/>
        </w:rPr>
        <w:t>a musí v ní být zahrnuty veškeré náklady dodavatele, spojené s realizací předmětu veřejné zakázky.</w:t>
      </w:r>
    </w:p>
    <w:p w:rsidRPr="00B50F22" w:rsidR="0086451C" w:rsidP="0086451C" w:rsidRDefault="0086451C">
      <w:pPr>
        <w:pStyle w:val="Zkladntext3"/>
        <w:numPr>
          <w:ilvl w:val="0"/>
          <w:numId w:val="2"/>
        </w:numPr>
        <w:spacing w:before="120" w:line="276" w:lineRule="auto"/>
        <w:ind w:left="782" w:hanging="357"/>
        <w:rPr>
          <w:rFonts w:asciiTheme="minorHAnsi" w:hAnsiTheme="minorHAnsi"/>
          <w:color w:val="auto"/>
          <w:sz w:val="22"/>
          <w:szCs w:val="22"/>
        </w:rPr>
      </w:pPr>
      <w:r w:rsidRPr="00B50F22">
        <w:rPr>
          <w:rFonts w:asciiTheme="minorHAnsi" w:hAnsiTheme="minorHAnsi"/>
          <w:color w:val="auto"/>
          <w:sz w:val="22"/>
          <w:szCs w:val="22"/>
        </w:rPr>
        <w:t xml:space="preserve">V případě hodnocení nabídek podle základního hodnotícího kritéria nejnižší nabídkové ceny provede hodnotící komise hodnocení nabídek podle výše nabídkových cen jednotlivých </w:t>
      </w:r>
      <w:r>
        <w:rPr>
          <w:rFonts w:asciiTheme="minorHAnsi" w:hAnsiTheme="minorHAnsi"/>
          <w:color w:val="auto"/>
          <w:sz w:val="22"/>
          <w:szCs w:val="22"/>
        </w:rPr>
        <w:t>dodavatelů</w:t>
      </w:r>
      <w:r w:rsidRPr="00B50F22">
        <w:rPr>
          <w:rFonts w:asciiTheme="minorHAnsi" w:hAnsiTheme="minorHAnsi"/>
          <w:color w:val="auto"/>
          <w:sz w:val="22"/>
          <w:szCs w:val="22"/>
        </w:rPr>
        <w:t xml:space="preserve"> tak, že sestaví pořadí </w:t>
      </w:r>
      <w:r>
        <w:rPr>
          <w:rFonts w:asciiTheme="minorHAnsi" w:hAnsiTheme="minorHAnsi"/>
          <w:color w:val="auto"/>
          <w:sz w:val="22"/>
          <w:szCs w:val="22"/>
        </w:rPr>
        <w:t>dodavatelů</w:t>
      </w:r>
      <w:r w:rsidRPr="00B50F22">
        <w:rPr>
          <w:rFonts w:asciiTheme="minorHAnsi" w:hAnsiTheme="minorHAnsi"/>
          <w:color w:val="auto"/>
          <w:sz w:val="22"/>
          <w:szCs w:val="22"/>
        </w:rPr>
        <w:t xml:space="preserve"> od prvého k poslednímu dle výše nabídkové ceny v Kč bez DPH, nejvýhodnější nabídkou je pak ta s nejnižší nabídkovou cenou v Kč bez DPH.</w:t>
      </w:r>
    </w:p>
    <w:p w:rsidRPr="0041768B" w:rsidR="0086451C" w:rsidP="0086451C" w:rsidRDefault="0086451C">
      <w:pPr>
        <w:pStyle w:val="Odstavecseseznamem"/>
        <w:numPr>
          <w:ilvl w:val="0"/>
          <w:numId w:val="2"/>
        </w:numPr>
        <w:spacing w:before="120" w:line="276" w:lineRule="auto"/>
        <w:ind w:left="782"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S vítězným dodavatelem (tím, který podal nabídku s nejnižší nabídkovou cenou) budou sepisovány Dohody</w:t>
      </w:r>
      <w:r w:rsidRPr="0041768B">
        <w:rPr>
          <w:rFonts w:asciiTheme="minorHAnsi" w:hAnsiTheme="minorHAnsi" w:cstheme="minorHAnsi"/>
          <w:color w:val="000000"/>
          <w:sz w:val="22"/>
          <w:szCs w:val="22"/>
        </w:rPr>
        <w:t xml:space="preserve"> o provedení rekvalifikace, viz příloha č. 3</w:t>
      </w:r>
      <w:r>
        <w:rPr>
          <w:rFonts w:asciiTheme="minorHAnsi" w:hAnsiTheme="minorHAnsi" w:cstheme="minorHAnsi"/>
          <w:color w:val="000000"/>
          <w:sz w:val="22"/>
          <w:szCs w:val="22"/>
        </w:rPr>
        <w:t xml:space="preserve">, dle jednotlivých objednávek </w:t>
      </w:r>
      <w:r>
        <w:rPr>
          <w:rFonts w:asciiTheme="minorHAnsi" w:hAnsiTheme="minorHAnsi" w:cstheme="minorHAnsi"/>
          <w:color w:val="000000"/>
          <w:sz w:val="22"/>
          <w:szCs w:val="22"/>
        </w:rPr>
        <w:br/>
        <w:t>a požadavků zadavatele. Dohoda o provedení rekvalifikace nemůže být měněna či doplňována vyjma míst k tomu určených a zadavatelem vynechaných.</w:t>
      </w:r>
    </w:p>
    <w:p w:rsidR="0086451C" w:rsidP="0086451C" w:rsidRDefault="0086451C">
      <w:pPr>
        <w:jc w:val="both"/>
        <w:rPr>
          <w:rFonts w:cstheme="minorHAnsi"/>
          <w:color w:val="000000"/>
        </w:rPr>
      </w:pPr>
    </w:p>
    <w:p w:rsidR="0086451C" w:rsidP="0086451C" w:rsidRDefault="0086451C">
      <w:pPr>
        <w:jc w:val="both"/>
        <w:rPr>
          <w:rFonts w:cstheme="minorHAnsi"/>
          <w:b/>
          <w:color w:val="000000"/>
          <w:u w:val="single"/>
        </w:rPr>
      </w:pPr>
      <w:r w:rsidRPr="001A4BC8">
        <w:rPr>
          <w:rFonts w:cstheme="minorHAnsi"/>
          <w:b/>
          <w:color w:val="000000"/>
          <w:u w:val="single"/>
        </w:rPr>
        <w:t>IX. Zvláštní povinnosti dodavatele.</w:t>
      </w:r>
    </w:p>
    <w:p w:rsidRPr="009C4824"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9C4824">
        <w:rPr>
          <w:rFonts w:asciiTheme="minorHAnsi" w:hAnsiTheme="minorHAnsi" w:cstheme="minorHAnsi"/>
          <w:color w:val="000000"/>
          <w:sz w:val="22"/>
          <w:szCs w:val="22"/>
        </w:rPr>
        <w:t xml:space="preserve">Povinnost po dobu 10 let od skončení plnění zakázky uchovávat doklady související s plněním zakázky a umožnit osobám oprávněným k výkonu </w:t>
      </w:r>
      <w:r w:rsidRPr="006A05C5">
        <w:rPr>
          <w:rFonts w:asciiTheme="minorHAnsi" w:hAnsiTheme="minorHAnsi" w:cstheme="minorHAnsi"/>
          <w:color w:val="000000"/>
          <w:sz w:val="22"/>
          <w:szCs w:val="22"/>
        </w:rPr>
        <w:t>kontroly projektu</w:t>
      </w:r>
      <w:r w:rsidRPr="009C4824">
        <w:rPr>
          <w:rFonts w:asciiTheme="minorHAnsi" w:hAnsiTheme="minorHAnsi" w:cstheme="minorHAnsi"/>
          <w:color w:val="000000"/>
          <w:sz w:val="22"/>
          <w:szCs w:val="22"/>
        </w:rPr>
        <w:t xml:space="preserve"> (zejména se jedná o poskytovatele, MPSV, MF, NKÚ, EK, Evropský účetní dvůr), z něhož je zakázka hrazena, provést kontrolu těchto dokladů. Lhůta začíná běžet od 1. ledna následujícího kalendářního roku, ve kterém byla uhrazena dodavateli závěrečná platba.</w:t>
      </w:r>
    </w:p>
    <w:p w:rsidRPr="009C4824"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9C4824">
        <w:rPr>
          <w:rFonts w:asciiTheme="minorHAnsi" w:hAnsiTheme="minorHAnsi" w:cstheme="minorHAnsi"/>
          <w:color w:val="000000"/>
          <w:sz w:val="22"/>
          <w:szCs w:val="22"/>
        </w:rPr>
        <w:t xml:space="preserve">Každá akce spolufinancovaná z prostředků OP LZZ musí být uvedena informací o tom, že je financována z prostředků ESF prostřednictvím Operačního programu Lidské zdroje </w:t>
      </w:r>
      <w:r>
        <w:rPr>
          <w:rFonts w:asciiTheme="minorHAnsi" w:hAnsiTheme="minorHAnsi" w:cstheme="minorHAnsi"/>
          <w:color w:val="000000"/>
          <w:sz w:val="22"/>
          <w:szCs w:val="22"/>
        </w:rPr>
        <w:br/>
      </w:r>
      <w:r w:rsidRPr="009C4824">
        <w:rPr>
          <w:rFonts w:asciiTheme="minorHAnsi" w:hAnsiTheme="minorHAnsi" w:cstheme="minorHAnsi"/>
          <w:color w:val="000000"/>
          <w:sz w:val="22"/>
          <w:szCs w:val="22"/>
        </w:rPr>
        <w:t>a zaměstnanost a státního rozpočtu ČR.</w:t>
      </w:r>
    </w:p>
    <w:p w:rsidRPr="009C4824"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9C4824">
        <w:rPr>
          <w:rFonts w:asciiTheme="minorHAnsi" w:hAnsiTheme="minorHAnsi" w:cstheme="minorHAnsi"/>
          <w:color w:val="000000"/>
          <w:sz w:val="22"/>
          <w:szCs w:val="22"/>
        </w:rPr>
        <w:t>Veškeré materiály vztahující se k projektu musí být označeny v souladu s pravidly vizuální identity ESF v ČR a OP LZZ.</w:t>
      </w:r>
    </w:p>
    <w:p w:rsidRPr="00FE1771"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9C4824">
        <w:rPr>
          <w:rFonts w:asciiTheme="minorHAnsi" w:hAnsiTheme="minorHAnsi" w:cstheme="minorHAnsi"/>
          <w:color w:val="000000"/>
          <w:sz w:val="22"/>
          <w:szCs w:val="22"/>
        </w:rPr>
        <w:t xml:space="preserve">Materiály informačního a propagačního charakteru (např. publikace, tiskoviny, certifikáty, pozvánky, program) musí být označeny v souladu s body a) až f) „Povinného minima </w:t>
      </w:r>
      <w:r w:rsidRPr="009C4824">
        <w:rPr>
          <w:rFonts w:asciiTheme="minorHAnsi" w:hAnsiTheme="minorHAnsi" w:cstheme="minorHAnsi"/>
          <w:color w:val="000000"/>
          <w:sz w:val="22"/>
          <w:szCs w:val="22"/>
        </w:rPr>
        <w:lastRenderedPageBreak/>
        <w:t>publicity OP LZZ“. Smlouvy uzavřené v rámci projektu, prezenční listiny, veškerá písemná</w:t>
      </w:r>
      <w:r w:rsidRPr="00FE1771">
        <w:rPr>
          <w:rFonts w:asciiTheme="minorHAnsi" w:hAnsiTheme="minorHAnsi" w:cstheme="minorHAnsi"/>
          <w:color w:val="000000"/>
          <w:sz w:val="22"/>
          <w:szCs w:val="22"/>
        </w:rPr>
        <w:t xml:space="preserve"> korespondence spojená s projektem musí být označeny všemi prvky </w:t>
      </w:r>
      <w:r>
        <w:rPr>
          <w:rFonts w:asciiTheme="minorHAnsi" w:hAnsiTheme="minorHAnsi" w:cstheme="minorHAnsi"/>
          <w:color w:val="000000"/>
          <w:sz w:val="22"/>
          <w:szCs w:val="22"/>
        </w:rPr>
        <w:t>„P</w:t>
      </w:r>
      <w:r w:rsidRPr="00FE1771">
        <w:rPr>
          <w:rFonts w:asciiTheme="minorHAnsi" w:hAnsiTheme="minorHAnsi" w:cstheme="minorHAnsi"/>
          <w:color w:val="000000"/>
          <w:sz w:val="22"/>
          <w:szCs w:val="22"/>
        </w:rPr>
        <w:t>ovinného minima publicity OP LZZ</w:t>
      </w:r>
      <w:r>
        <w:rPr>
          <w:rFonts w:asciiTheme="minorHAnsi" w:hAnsiTheme="minorHAnsi" w:cstheme="minorHAnsi"/>
          <w:color w:val="000000"/>
          <w:sz w:val="22"/>
          <w:szCs w:val="22"/>
        </w:rPr>
        <w:t>“</w:t>
      </w:r>
      <w:r w:rsidRPr="00FE1771">
        <w:rPr>
          <w:rFonts w:asciiTheme="minorHAnsi" w:hAnsiTheme="minorHAnsi" w:cstheme="minorHAnsi"/>
          <w:color w:val="000000"/>
          <w:sz w:val="22"/>
          <w:szCs w:val="22"/>
        </w:rPr>
        <w:t xml:space="preserve">. </w:t>
      </w:r>
    </w:p>
    <w:p w:rsidRPr="00FE1771"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FE1771">
        <w:rPr>
          <w:rFonts w:asciiTheme="minorHAnsi" w:hAnsiTheme="minorHAnsi" w:cstheme="minorHAnsi"/>
          <w:color w:val="000000"/>
          <w:sz w:val="22"/>
          <w:szCs w:val="22"/>
        </w:rPr>
        <w:t xml:space="preserve">Ve všech školících místnostech (tedy místnostech, které navštěvují účastníci </w:t>
      </w:r>
      <w:r>
        <w:rPr>
          <w:rFonts w:asciiTheme="minorHAnsi" w:hAnsiTheme="minorHAnsi" w:cstheme="minorHAnsi"/>
          <w:color w:val="000000"/>
          <w:sz w:val="22"/>
          <w:szCs w:val="22"/>
        </w:rPr>
        <w:t>rekvalifikace</w:t>
      </w:r>
      <w:r w:rsidRPr="00FE1771">
        <w:rPr>
          <w:rFonts w:asciiTheme="minorHAnsi" w:hAnsiTheme="minorHAnsi" w:cstheme="minorHAnsi"/>
          <w:color w:val="000000"/>
          <w:sz w:val="22"/>
          <w:szCs w:val="22"/>
        </w:rPr>
        <w:t>) musí být všechny věci spolufinancované z ESF označeny v souladu s body a) až f) „Povinného minima publicity OP LZZ.“</w:t>
      </w:r>
    </w:p>
    <w:p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FE1771">
        <w:rPr>
          <w:rFonts w:asciiTheme="minorHAnsi" w:hAnsiTheme="minorHAnsi" w:cstheme="minorHAnsi"/>
          <w:color w:val="000000"/>
          <w:sz w:val="22"/>
          <w:szCs w:val="22"/>
        </w:rPr>
        <w:t>Dodavatel je povinen umožnit osobám pověřeným zadavatelem provést kontrolu dodržování podmínek dohody, dodavatel je zároveň „</w:t>
      </w:r>
      <w:r w:rsidRPr="00FE1771">
        <w:rPr>
          <w:rFonts w:asciiTheme="minorHAnsi" w:hAnsiTheme="minorHAnsi" w:cstheme="minorHAnsi"/>
          <w:i/>
          <w:color w:val="000000"/>
          <w:sz w:val="22"/>
          <w:szCs w:val="22"/>
        </w:rPr>
        <w:t>osobou povinnou spolupůsobit při výkonu finanční kontroly“</w:t>
      </w:r>
      <w:r w:rsidRPr="00FE1771">
        <w:rPr>
          <w:rFonts w:asciiTheme="minorHAnsi" w:hAnsiTheme="minorHAnsi" w:cstheme="minorHAnsi"/>
          <w:color w:val="000000"/>
          <w:sz w:val="22"/>
          <w:szCs w:val="22"/>
        </w:rPr>
        <w:t xml:space="preserve"> ve smyslu § 2, písm. e) zákona č. 320/2001 Sb., o finanční kontrole ve veřejné správě a o změně některých zákonů, ve znění pozdějších předpisů.</w:t>
      </w:r>
    </w:p>
    <w:p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Dodavatel pořídí fotodokumentaci z každého běhu rekvalifikace tak, aby z ní bylo patrné, že rekvalifikace skutečně proběhla a prostory, v nichž se konala, byly řádně označeny logy ESF. Fotodokumentace bude doložena k závěrečnému protokolu dle článku III. 8 Dohody </w:t>
      </w:r>
      <w:r>
        <w:rPr>
          <w:rFonts w:asciiTheme="minorHAnsi" w:hAnsiTheme="minorHAnsi" w:cstheme="minorHAnsi"/>
          <w:color w:val="000000"/>
          <w:sz w:val="22"/>
          <w:szCs w:val="22"/>
        </w:rPr>
        <w:br/>
        <w:t xml:space="preserve">o provedení rekvalifikace v rámci OP LZZ. </w:t>
      </w:r>
      <w:r w:rsidRPr="00FE1771">
        <w:rPr>
          <w:rFonts w:asciiTheme="minorHAnsi" w:hAnsiTheme="minorHAnsi" w:cstheme="minorHAnsi"/>
          <w:color w:val="000000"/>
          <w:sz w:val="22"/>
          <w:szCs w:val="22"/>
        </w:rPr>
        <w:t xml:space="preserve"> </w:t>
      </w:r>
    </w:p>
    <w:p w:rsidRPr="007055A4" w:rsidR="0086451C" w:rsidP="0086451C" w:rsidRDefault="0086451C">
      <w:pPr>
        <w:jc w:val="both"/>
        <w:rPr>
          <w:rFonts w:cstheme="minorHAnsi"/>
          <w:color w:val="000000"/>
        </w:rPr>
      </w:pPr>
    </w:p>
    <w:p w:rsidR="0086451C" w:rsidP="0086451C" w:rsidRDefault="0086451C">
      <w:pPr>
        <w:jc w:val="both"/>
        <w:rPr>
          <w:rFonts w:cstheme="minorHAnsi"/>
          <w:b/>
          <w:color w:val="000000"/>
          <w:u w:val="single"/>
        </w:rPr>
      </w:pPr>
      <w:r w:rsidRPr="00F657ED">
        <w:rPr>
          <w:rFonts w:cstheme="minorHAnsi"/>
          <w:b/>
          <w:color w:val="000000"/>
          <w:u w:val="single"/>
        </w:rPr>
        <w:t>X. Ostatní ujednání</w:t>
      </w:r>
      <w:r>
        <w:rPr>
          <w:rFonts w:cstheme="minorHAnsi"/>
          <w:b/>
          <w:color w:val="000000"/>
          <w:u w:val="single"/>
        </w:rPr>
        <w:t xml:space="preserve">. </w:t>
      </w:r>
    </w:p>
    <w:p w:rsidRPr="001F1045" w:rsidR="0086451C" w:rsidP="0086451C" w:rsidRDefault="0086451C">
      <w:pPr>
        <w:pStyle w:val="Odstavecseseznamem"/>
        <w:numPr>
          <w:ilvl w:val="0"/>
          <w:numId w:val="2"/>
        </w:numPr>
        <w:spacing w:line="276" w:lineRule="auto"/>
        <w:jc w:val="both"/>
        <w:rPr>
          <w:rFonts w:cstheme="minorHAnsi"/>
          <w:color w:val="000000"/>
        </w:rPr>
      </w:pPr>
      <w:r w:rsidRPr="00B50F22">
        <w:rPr>
          <w:rFonts w:asciiTheme="minorHAnsi" w:hAnsiTheme="minorHAnsi" w:cstheme="minorHAnsi"/>
          <w:color w:val="000000"/>
          <w:sz w:val="22"/>
          <w:szCs w:val="22"/>
        </w:rPr>
        <w:t xml:space="preserve">Zadavatel nehradí </w:t>
      </w:r>
      <w:r>
        <w:rPr>
          <w:rFonts w:asciiTheme="minorHAnsi" w:hAnsiTheme="minorHAnsi" w:cstheme="minorHAnsi"/>
          <w:color w:val="000000"/>
          <w:sz w:val="22"/>
          <w:szCs w:val="22"/>
        </w:rPr>
        <w:t>dodavatelům</w:t>
      </w:r>
      <w:r w:rsidRPr="00B50F22">
        <w:rPr>
          <w:rFonts w:asciiTheme="minorHAnsi" w:hAnsiTheme="minorHAnsi" w:cstheme="minorHAnsi"/>
          <w:color w:val="000000"/>
          <w:sz w:val="22"/>
          <w:szCs w:val="22"/>
        </w:rPr>
        <w:t xml:space="preserve"> náklady vzniklé z účasti v</w:t>
      </w:r>
      <w:r>
        <w:rPr>
          <w:rFonts w:asciiTheme="minorHAnsi" w:hAnsiTheme="minorHAnsi" w:cstheme="minorHAnsi"/>
          <w:color w:val="000000"/>
          <w:sz w:val="22"/>
          <w:szCs w:val="22"/>
        </w:rPr>
        <w:t xml:space="preserve"> zadávacím </w:t>
      </w:r>
      <w:r w:rsidRPr="00B50F22">
        <w:rPr>
          <w:rFonts w:asciiTheme="minorHAnsi" w:hAnsiTheme="minorHAnsi" w:cstheme="minorHAnsi"/>
          <w:color w:val="000000"/>
          <w:sz w:val="22"/>
          <w:szCs w:val="22"/>
        </w:rPr>
        <w:t>řízení.</w:t>
      </w:r>
    </w:p>
    <w:p w:rsidRPr="00357077"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357077">
        <w:rPr>
          <w:rFonts w:asciiTheme="minorHAnsi" w:hAnsiTheme="minorHAnsi" w:cstheme="minorHAnsi"/>
          <w:color w:val="000000"/>
          <w:sz w:val="22"/>
          <w:szCs w:val="22"/>
        </w:rPr>
        <w:t xml:space="preserve">Zadavatel si vyhrazuje právo změnit, doplnit podmínky veřejné zakázky a dále zakázku  </w:t>
      </w:r>
      <w:r w:rsidRPr="00357077">
        <w:rPr>
          <w:rFonts w:asciiTheme="minorHAnsi" w:hAnsiTheme="minorHAnsi" w:cstheme="minorHAnsi"/>
          <w:color w:val="000000"/>
          <w:sz w:val="22"/>
          <w:szCs w:val="22"/>
        </w:rPr>
        <w:br/>
        <w:t xml:space="preserve">do uzavření smlouvy zrušit. Případné zrušení veřejné zakázky bude řádně odůvodněno.   </w:t>
      </w:r>
    </w:p>
    <w:p w:rsidRPr="00B50F22"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B50F22">
        <w:rPr>
          <w:rFonts w:asciiTheme="minorHAnsi" w:hAnsiTheme="minorHAnsi" w:cstheme="minorHAnsi"/>
          <w:color w:val="000000"/>
          <w:sz w:val="22"/>
          <w:szCs w:val="22"/>
        </w:rPr>
        <w:t xml:space="preserve">Zadavatel si vyhrazuje právo před rozhodnutím o výběru nejvýhodnější nabídky </w:t>
      </w:r>
      <w:proofErr w:type="gramStart"/>
      <w:r w:rsidRPr="00B50F22">
        <w:rPr>
          <w:rFonts w:asciiTheme="minorHAnsi" w:hAnsiTheme="minorHAnsi" w:cstheme="minorHAnsi"/>
          <w:color w:val="000000"/>
          <w:sz w:val="22"/>
          <w:szCs w:val="22"/>
        </w:rPr>
        <w:t>ověřit,  případně</w:t>
      </w:r>
      <w:proofErr w:type="gramEnd"/>
      <w:r w:rsidRPr="00B50F22">
        <w:rPr>
          <w:rFonts w:asciiTheme="minorHAnsi" w:hAnsiTheme="minorHAnsi" w:cstheme="minorHAnsi"/>
          <w:color w:val="000000"/>
          <w:sz w:val="22"/>
          <w:szCs w:val="22"/>
        </w:rPr>
        <w:t xml:space="preserve"> vyjasnit informace deklarované </w:t>
      </w:r>
      <w:r>
        <w:rPr>
          <w:rFonts w:asciiTheme="minorHAnsi" w:hAnsiTheme="minorHAnsi" w:cstheme="minorHAnsi"/>
          <w:color w:val="000000"/>
          <w:sz w:val="22"/>
          <w:szCs w:val="22"/>
        </w:rPr>
        <w:t>dodavateli</w:t>
      </w:r>
      <w:r w:rsidRPr="00B50F22">
        <w:rPr>
          <w:rFonts w:asciiTheme="minorHAnsi" w:hAnsiTheme="minorHAnsi" w:cstheme="minorHAnsi"/>
          <w:color w:val="000000"/>
          <w:sz w:val="22"/>
          <w:szCs w:val="22"/>
        </w:rPr>
        <w:t xml:space="preserve"> v nabídkách.</w:t>
      </w:r>
    </w:p>
    <w:p w:rsidRPr="004A2480" w:rsidR="0086451C" w:rsidP="0086451C" w:rsidRDefault="0086451C">
      <w:pPr>
        <w:pStyle w:val="Odstavecseseznamem"/>
        <w:numPr>
          <w:ilvl w:val="0"/>
          <w:numId w:val="2"/>
        </w:numPr>
        <w:spacing w:line="276" w:lineRule="auto"/>
        <w:jc w:val="both"/>
        <w:rPr>
          <w:rFonts w:asciiTheme="minorHAnsi" w:hAnsiTheme="minorHAnsi" w:cstheme="minorHAnsi"/>
          <w:color w:val="000000"/>
          <w:sz w:val="22"/>
          <w:szCs w:val="22"/>
        </w:rPr>
      </w:pPr>
      <w:r w:rsidRPr="004A2480">
        <w:rPr>
          <w:rFonts w:asciiTheme="minorHAnsi" w:hAnsiTheme="minorHAnsi" w:cstheme="minorHAnsi"/>
          <w:color w:val="000000"/>
          <w:sz w:val="22"/>
          <w:szCs w:val="22"/>
        </w:rPr>
        <w:t xml:space="preserve">Nabídky, kopie ani jednotlivé součásti nabídek </w:t>
      </w:r>
      <w:r>
        <w:rPr>
          <w:rFonts w:asciiTheme="minorHAnsi" w:hAnsiTheme="minorHAnsi" w:cstheme="minorHAnsi"/>
          <w:color w:val="000000"/>
          <w:sz w:val="22"/>
          <w:szCs w:val="22"/>
        </w:rPr>
        <w:t>dodavatelů</w:t>
      </w:r>
      <w:r w:rsidRPr="004A2480">
        <w:rPr>
          <w:rFonts w:asciiTheme="minorHAnsi" w:hAnsiTheme="minorHAnsi" w:cstheme="minorHAnsi"/>
          <w:color w:val="000000"/>
          <w:sz w:val="22"/>
          <w:szCs w:val="22"/>
        </w:rPr>
        <w:t xml:space="preserve"> či vyloučených </w:t>
      </w:r>
      <w:r>
        <w:rPr>
          <w:rFonts w:asciiTheme="minorHAnsi" w:hAnsiTheme="minorHAnsi" w:cstheme="minorHAnsi"/>
          <w:color w:val="000000"/>
          <w:sz w:val="22"/>
          <w:szCs w:val="22"/>
        </w:rPr>
        <w:t>dodavatelů</w:t>
      </w:r>
      <w:r w:rsidRPr="004A2480">
        <w:rPr>
          <w:rFonts w:asciiTheme="minorHAnsi" w:hAnsiTheme="minorHAnsi" w:cstheme="minorHAnsi"/>
          <w:color w:val="000000"/>
          <w:sz w:val="22"/>
          <w:szCs w:val="22"/>
        </w:rPr>
        <w:t xml:space="preserve"> nebudou vráceny.</w:t>
      </w:r>
    </w:p>
    <w:p w:rsidRPr="00074BB7" w:rsidR="0086451C" w:rsidP="0086451C" w:rsidRDefault="0086451C">
      <w:pPr>
        <w:pStyle w:val="Odstavecseseznamem"/>
        <w:numPr>
          <w:ilvl w:val="0"/>
          <w:numId w:val="2"/>
        </w:numPr>
        <w:spacing w:line="276" w:lineRule="auto"/>
        <w:rPr>
          <w:rStyle w:val="Hypertextovodkaz"/>
          <w:rFonts w:asciiTheme="minorHAnsi" w:hAnsiTheme="minorHAnsi" w:cstheme="minorHAnsi"/>
          <w:sz w:val="22"/>
          <w:szCs w:val="22"/>
        </w:rPr>
      </w:pPr>
      <w:r w:rsidRPr="00074BB7">
        <w:rPr>
          <w:rFonts w:asciiTheme="minorHAnsi" w:hAnsiTheme="minorHAnsi" w:cstheme="minorHAnsi"/>
          <w:color w:val="000000"/>
          <w:sz w:val="22"/>
          <w:szCs w:val="22"/>
        </w:rPr>
        <w:t xml:space="preserve">Veškeré informace týkající se zakázky budou zveřejněny na webových stránkách </w:t>
      </w:r>
      <w:r>
        <w:rPr>
          <w:rFonts w:asciiTheme="minorHAnsi" w:hAnsiTheme="minorHAnsi" w:cstheme="minorHAnsi"/>
          <w:color w:val="000000"/>
          <w:sz w:val="22"/>
          <w:szCs w:val="22"/>
        </w:rPr>
        <w:t>zadavatele</w:t>
      </w:r>
      <w:r w:rsidRPr="00074BB7">
        <w:rPr>
          <w:rFonts w:asciiTheme="minorHAnsi" w:hAnsiTheme="minorHAnsi" w:cstheme="minorHAnsi"/>
          <w:sz w:val="22"/>
          <w:szCs w:val="22"/>
        </w:rPr>
        <w:t>:</w:t>
      </w:r>
      <w:r>
        <w:rPr>
          <w:rFonts w:asciiTheme="minorHAnsi" w:hAnsiTheme="minorHAnsi" w:cstheme="minorHAnsi"/>
          <w:sz w:val="22"/>
          <w:szCs w:val="22"/>
        </w:rPr>
        <w:t xml:space="preserve"> </w:t>
      </w:r>
      <w:hyperlink w:history="true" r:id="rId14">
        <w:r>
          <w:rPr>
            <w:rStyle w:val="Hypertextovodkaz"/>
            <w:rFonts w:asciiTheme="minorHAnsi" w:hAnsiTheme="minorHAnsi" w:cstheme="minorHAnsi"/>
            <w:sz w:val="22"/>
            <w:szCs w:val="22"/>
          </w:rPr>
          <w:t>http://portal.mpsv.cz/upcr/kp/olk/poradenstvi</w:t>
        </w:r>
      </w:hyperlink>
      <w:r>
        <w:rPr>
          <w:rStyle w:val="Hypertextovodkaz"/>
          <w:rFonts w:asciiTheme="minorHAnsi" w:hAnsiTheme="minorHAnsi" w:cstheme="minorHAnsi"/>
          <w:sz w:val="22"/>
          <w:szCs w:val="22"/>
        </w:rPr>
        <w:t xml:space="preserve"> a </w:t>
      </w:r>
      <w:r w:rsidRPr="00074BB7">
        <w:rPr>
          <w:rStyle w:val="Hypertextovodkaz"/>
          <w:rFonts w:asciiTheme="minorHAnsi" w:hAnsiTheme="minorHAnsi" w:cstheme="minorHAnsi"/>
          <w:sz w:val="22"/>
          <w:szCs w:val="22"/>
        </w:rPr>
        <w:t>na stránkách</w:t>
      </w:r>
      <w:r>
        <w:rPr>
          <w:rStyle w:val="Hypertextovodkaz"/>
          <w:rFonts w:asciiTheme="minorHAnsi" w:hAnsiTheme="minorHAnsi" w:cstheme="minorHAnsi"/>
          <w:sz w:val="22"/>
          <w:szCs w:val="22"/>
        </w:rPr>
        <w:t xml:space="preserve"> </w:t>
      </w:r>
      <w:r w:rsidRPr="00074BB7">
        <w:rPr>
          <w:rStyle w:val="Hypertextovodkaz"/>
          <w:rFonts w:asciiTheme="minorHAnsi" w:hAnsiTheme="minorHAnsi" w:cstheme="minorHAnsi"/>
          <w:sz w:val="22"/>
          <w:szCs w:val="22"/>
        </w:rPr>
        <w:t>http://www.esfcr.cz</w:t>
      </w:r>
    </w:p>
    <w:p w:rsidR="0086451C" w:rsidP="0086451C" w:rsidRDefault="0086451C">
      <w:pPr>
        <w:pStyle w:val="Odstavecseseznamem"/>
        <w:numPr>
          <w:ilvl w:val="0"/>
          <w:numId w:val="2"/>
        </w:numPr>
        <w:spacing w:line="276" w:lineRule="auto"/>
        <w:jc w:val="both"/>
        <w:rPr>
          <w:rStyle w:val="Hypertextovodkaz"/>
          <w:rFonts w:asciiTheme="minorHAnsi" w:hAnsiTheme="minorHAnsi" w:cstheme="minorHAnsi"/>
          <w:color w:val="000000" w:themeColor="text1"/>
          <w:sz w:val="22"/>
          <w:szCs w:val="22"/>
        </w:rPr>
      </w:pPr>
      <w:r w:rsidRPr="00013E70">
        <w:rPr>
          <w:rStyle w:val="Hypertextovodkaz"/>
          <w:rFonts w:asciiTheme="minorHAnsi" w:hAnsiTheme="minorHAnsi" w:cstheme="minorHAnsi"/>
          <w:color w:val="000000" w:themeColor="text1"/>
          <w:sz w:val="22"/>
          <w:szCs w:val="22"/>
        </w:rPr>
        <w:t>Případné</w:t>
      </w:r>
      <w:r>
        <w:rPr>
          <w:rStyle w:val="Hypertextovodkaz"/>
          <w:rFonts w:asciiTheme="minorHAnsi" w:hAnsiTheme="minorHAnsi" w:cstheme="minorHAnsi"/>
          <w:color w:val="000000" w:themeColor="text1"/>
          <w:sz w:val="22"/>
          <w:szCs w:val="22"/>
        </w:rPr>
        <w:t xml:space="preserve"> dotazy</w:t>
      </w:r>
      <w:r w:rsidRPr="00013E70">
        <w:rPr>
          <w:rStyle w:val="Hypertextovodkaz"/>
          <w:rFonts w:asciiTheme="minorHAnsi" w:hAnsiTheme="minorHAnsi" w:cstheme="minorHAnsi"/>
          <w:color w:val="000000" w:themeColor="text1"/>
          <w:sz w:val="22"/>
          <w:szCs w:val="22"/>
        </w:rPr>
        <w:t xml:space="preserve"> k zakázce přijímáme v písemné </w:t>
      </w:r>
      <w:r w:rsidRPr="009912C2">
        <w:rPr>
          <w:rStyle w:val="Hypertextovodkaz"/>
          <w:rFonts w:asciiTheme="minorHAnsi" w:hAnsiTheme="minorHAnsi" w:cstheme="minorHAnsi"/>
          <w:color w:val="000000" w:themeColor="text1"/>
          <w:sz w:val="22"/>
          <w:szCs w:val="22"/>
        </w:rPr>
        <w:t>podobě nebo e-mailem adresované</w:t>
      </w:r>
      <w:r>
        <w:rPr>
          <w:rStyle w:val="Hypertextovodkaz"/>
          <w:rFonts w:asciiTheme="minorHAnsi" w:hAnsiTheme="minorHAnsi" w:cstheme="minorHAnsi"/>
          <w:color w:val="000000" w:themeColor="text1"/>
          <w:sz w:val="22"/>
          <w:szCs w:val="22"/>
        </w:rPr>
        <w:t xml:space="preserve"> kontaktním osobám, nejpozději 5 pracovních dnů před uplynutím lhůty pro podání nabídek. Odpovědi budou zveřejněny na webových stránkách zadavatele a na </w:t>
      </w:r>
      <w:proofErr w:type="gramStart"/>
      <w:r>
        <w:rPr>
          <w:rStyle w:val="Hypertextovodkaz"/>
          <w:rFonts w:asciiTheme="minorHAnsi" w:hAnsiTheme="minorHAnsi" w:cstheme="minorHAnsi"/>
          <w:color w:val="000000" w:themeColor="text1"/>
          <w:sz w:val="22"/>
          <w:szCs w:val="22"/>
        </w:rPr>
        <w:t xml:space="preserve">stránkách  </w:t>
      </w:r>
      <w:r w:rsidRPr="00074BB7">
        <w:rPr>
          <w:rStyle w:val="Hypertextovodkaz"/>
          <w:rFonts w:asciiTheme="minorHAnsi" w:hAnsiTheme="minorHAnsi" w:cstheme="minorHAnsi"/>
          <w:sz w:val="22"/>
          <w:szCs w:val="22"/>
        </w:rPr>
        <w:t>http</w:t>
      </w:r>
      <w:proofErr w:type="gramEnd"/>
      <w:r w:rsidRPr="00074BB7">
        <w:rPr>
          <w:rStyle w:val="Hypertextovodkaz"/>
          <w:rFonts w:asciiTheme="minorHAnsi" w:hAnsiTheme="minorHAnsi" w:cstheme="minorHAnsi"/>
          <w:sz w:val="22"/>
          <w:szCs w:val="22"/>
        </w:rPr>
        <w:t>://www.esfcr.cz</w:t>
      </w:r>
      <w:r>
        <w:rPr>
          <w:rStyle w:val="Hypertextovodkaz"/>
          <w:rFonts w:asciiTheme="minorHAnsi" w:hAnsiTheme="minorHAnsi" w:cstheme="minorHAnsi"/>
          <w:color w:val="000000" w:themeColor="text1"/>
          <w:sz w:val="22"/>
          <w:szCs w:val="22"/>
        </w:rPr>
        <w:t>.</w:t>
      </w:r>
    </w:p>
    <w:p w:rsidR="0086451C" w:rsidP="0086451C" w:rsidRDefault="0086451C">
      <w:pPr>
        <w:pStyle w:val="Odstavecseseznamem"/>
        <w:numPr>
          <w:ilvl w:val="0"/>
          <w:numId w:val="2"/>
        </w:numPr>
        <w:spacing w:line="276" w:lineRule="auto"/>
        <w:jc w:val="both"/>
        <w:rPr>
          <w:rFonts w:cstheme="minorHAnsi"/>
          <w:color w:val="000000"/>
        </w:rPr>
      </w:pPr>
      <w:r w:rsidRPr="00013E70">
        <w:rPr>
          <w:rStyle w:val="Hypertextovodkaz"/>
          <w:rFonts w:asciiTheme="minorHAnsi" w:hAnsiTheme="minorHAnsi" w:cstheme="minorHAnsi"/>
          <w:color w:val="000000" w:themeColor="text1"/>
          <w:sz w:val="22"/>
          <w:szCs w:val="22"/>
        </w:rPr>
        <w:t>V případě, že z jakýchkoli důvodů na straně zadavatele nebude možné dodržet termín zahájení plnění, je zadavatel oprávněn termín plnění posunout na jinou dobu.</w:t>
      </w:r>
      <w:r w:rsidRPr="00013E70">
        <w:rPr>
          <w:rFonts w:cstheme="minorHAnsi"/>
          <w:color w:val="000000"/>
        </w:rPr>
        <w:t xml:space="preserve"> </w:t>
      </w:r>
    </w:p>
    <w:p w:rsidR="0086451C" w:rsidP="0086451C" w:rsidRDefault="0086451C">
      <w:pPr>
        <w:jc w:val="both"/>
        <w:rPr>
          <w:rFonts w:cstheme="minorHAnsi"/>
          <w:color w:val="000000"/>
        </w:rPr>
      </w:pPr>
    </w:p>
    <w:p w:rsidRPr="001A4BC8" w:rsidR="0086451C" w:rsidP="0086451C" w:rsidRDefault="0086451C">
      <w:pPr>
        <w:jc w:val="both"/>
        <w:rPr>
          <w:rFonts w:cstheme="minorHAnsi"/>
          <w:b/>
          <w:color w:val="000000"/>
          <w:u w:val="single"/>
        </w:rPr>
      </w:pPr>
      <w:r>
        <w:rPr>
          <w:rFonts w:cstheme="minorHAnsi"/>
          <w:b/>
          <w:color w:val="000000"/>
          <w:u w:val="single"/>
        </w:rPr>
        <w:t>XI</w:t>
      </w:r>
      <w:r w:rsidRPr="001A4BC8">
        <w:rPr>
          <w:rFonts w:cstheme="minorHAnsi"/>
          <w:b/>
          <w:color w:val="000000"/>
          <w:u w:val="single"/>
        </w:rPr>
        <w:t>. Místo a doba pro podávání obálek s nabídkami.</w:t>
      </w:r>
    </w:p>
    <w:p w:rsidRPr="001A4BC8" w:rsidR="0086451C" w:rsidP="0086451C" w:rsidRDefault="0086451C">
      <w:pPr>
        <w:jc w:val="both"/>
        <w:rPr>
          <w:rFonts w:cstheme="minorHAnsi"/>
          <w:color w:val="000000"/>
        </w:rPr>
      </w:pPr>
      <w:r>
        <w:rPr>
          <w:rFonts w:cstheme="minorHAnsi"/>
          <w:color w:val="000000"/>
        </w:rPr>
        <w:t>Dodavatelé</w:t>
      </w:r>
      <w:r w:rsidRPr="001A4BC8">
        <w:rPr>
          <w:rFonts w:cstheme="minorHAnsi"/>
          <w:color w:val="000000"/>
        </w:rPr>
        <w:t xml:space="preserve"> podají své nabídky v listinné podobě (v českém jazyce) v jednom vyhotovení osobně </w:t>
      </w:r>
      <w:r>
        <w:rPr>
          <w:rFonts w:cstheme="minorHAnsi"/>
          <w:color w:val="000000"/>
        </w:rPr>
        <w:br/>
      </w:r>
      <w:r w:rsidRPr="001A4BC8">
        <w:rPr>
          <w:rFonts w:cstheme="minorHAnsi"/>
          <w:color w:val="000000"/>
        </w:rPr>
        <w:t xml:space="preserve">na podatelnu na adrese zadavatele nebo poštou na adresu zadavatele: </w:t>
      </w:r>
      <w:r w:rsidRPr="001A4BC8">
        <w:rPr>
          <w:rFonts w:cstheme="minorHAnsi"/>
          <w:b/>
          <w:color w:val="000000"/>
        </w:rPr>
        <w:t xml:space="preserve">Úřad práce ČR, krajská pobočka v Olomouci, </w:t>
      </w:r>
      <w:proofErr w:type="spellStart"/>
      <w:r w:rsidRPr="001A4BC8">
        <w:rPr>
          <w:rFonts w:cstheme="minorHAnsi"/>
          <w:b/>
          <w:color w:val="000000"/>
        </w:rPr>
        <w:t>Vejdovského</w:t>
      </w:r>
      <w:proofErr w:type="spellEnd"/>
      <w:r>
        <w:rPr>
          <w:rFonts w:cstheme="minorHAnsi"/>
          <w:b/>
          <w:color w:val="000000"/>
        </w:rPr>
        <w:t xml:space="preserve"> </w:t>
      </w:r>
      <w:r w:rsidRPr="001A4BC8">
        <w:rPr>
          <w:rFonts w:cstheme="minorHAnsi"/>
          <w:b/>
          <w:color w:val="000000"/>
        </w:rPr>
        <w:t xml:space="preserve"> 988/4, 779 00 Olomouc</w:t>
      </w:r>
      <w:r w:rsidRPr="001A4BC8">
        <w:rPr>
          <w:rFonts w:cstheme="minorHAnsi"/>
          <w:color w:val="000000"/>
        </w:rPr>
        <w:t xml:space="preserve"> tak, aby byla zadavateli doručena na jeho adresu nejpozději:</w:t>
      </w:r>
    </w:p>
    <w:p w:rsidRPr="00B53479" w:rsidR="0086451C" w:rsidP="0086451C" w:rsidRDefault="0086451C">
      <w:pPr>
        <w:jc w:val="both"/>
        <w:rPr>
          <w:rFonts w:cstheme="minorHAnsi"/>
          <w:b/>
          <w:color w:val="000000"/>
        </w:rPr>
      </w:pPr>
      <w:r w:rsidRPr="001A4BC8">
        <w:rPr>
          <w:rFonts w:cstheme="minorHAnsi"/>
          <w:color w:val="000000"/>
        </w:rPr>
        <w:t xml:space="preserve">                                   </w:t>
      </w:r>
      <w:r>
        <w:rPr>
          <w:rFonts w:cstheme="minorHAnsi"/>
          <w:color w:val="000000"/>
        </w:rPr>
        <w:t xml:space="preserve"> </w:t>
      </w:r>
      <w:r w:rsidRPr="001A4BC8">
        <w:rPr>
          <w:rFonts w:cstheme="minorHAnsi"/>
          <w:color w:val="000000"/>
        </w:rPr>
        <w:t xml:space="preserve">  </w:t>
      </w:r>
      <w:r>
        <w:rPr>
          <w:rFonts w:cstheme="minorHAnsi"/>
          <w:color w:val="000000"/>
        </w:rPr>
        <w:t xml:space="preserve">   </w:t>
      </w:r>
      <w:r w:rsidRPr="001A4BC8">
        <w:rPr>
          <w:rFonts w:cstheme="minorHAnsi"/>
          <w:color w:val="000000"/>
        </w:rPr>
        <w:t xml:space="preserve">      </w:t>
      </w:r>
      <w:r w:rsidRPr="00B53479">
        <w:rPr>
          <w:rFonts w:cstheme="minorHAnsi"/>
          <w:b/>
          <w:color w:val="000000"/>
        </w:rPr>
        <w:t xml:space="preserve">do </w:t>
      </w:r>
      <w:r>
        <w:rPr>
          <w:rFonts w:cstheme="minorHAnsi"/>
          <w:b/>
          <w:color w:val="000000"/>
        </w:rPr>
        <w:t>27. dubna 2015</w:t>
      </w:r>
      <w:r w:rsidRPr="00B53479">
        <w:rPr>
          <w:rFonts w:cstheme="minorHAnsi"/>
          <w:b/>
          <w:color w:val="000000"/>
        </w:rPr>
        <w:t xml:space="preserve"> do</w:t>
      </w:r>
      <w:r>
        <w:rPr>
          <w:rFonts w:cstheme="minorHAnsi"/>
          <w:b/>
          <w:color w:val="000000"/>
        </w:rPr>
        <w:t xml:space="preserve"> 13.00</w:t>
      </w:r>
      <w:r w:rsidRPr="00B53479">
        <w:rPr>
          <w:rFonts w:cstheme="minorHAnsi"/>
          <w:b/>
          <w:color w:val="000000"/>
        </w:rPr>
        <w:t xml:space="preserve"> hodin</w:t>
      </w:r>
    </w:p>
    <w:p w:rsidRPr="00B53479" w:rsidR="0086451C" w:rsidP="0086451C" w:rsidRDefault="0086451C">
      <w:pPr>
        <w:jc w:val="both"/>
        <w:rPr>
          <w:rFonts w:cstheme="minorHAnsi"/>
          <w:b/>
          <w:color w:val="000000"/>
        </w:rPr>
      </w:pPr>
    </w:p>
    <w:p w:rsidRPr="001A4BC8" w:rsidR="0086451C" w:rsidP="0086451C" w:rsidRDefault="0086451C">
      <w:pPr>
        <w:jc w:val="both"/>
        <w:rPr>
          <w:rFonts w:cstheme="minorHAnsi"/>
          <w:color w:val="000000"/>
        </w:rPr>
      </w:pPr>
      <w:r>
        <w:rPr>
          <w:rFonts w:cstheme="minorHAnsi"/>
          <w:color w:val="000000"/>
        </w:rPr>
        <w:t>R</w:t>
      </w:r>
      <w:r w:rsidRPr="001A4BC8">
        <w:rPr>
          <w:rFonts w:cstheme="minorHAnsi"/>
          <w:color w:val="000000"/>
        </w:rPr>
        <w:t>ozhodující pro doručení nabídky je okamžik převzetí nabídky zadavatelem.</w:t>
      </w:r>
    </w:p>
    <w:p w:rsidR="0086451C" w:rsidP="0086451C" w:rsidRDefault="0086451C">
      <w:pPr>
        <w:jc w:val="both"/>
        <w:rPr>
          <w:rFonts w:cstheme="minorHAnsi"/>
          <w:color w:val="000000"/>
        </w:rPr>
      </w:pPr>
    </w:p>
    <w:p w:rsidRPr="001A4BC8" w:rsidR="0086451C" w:rsidP="0086451C" w:rsidRDefault="0086451C">
      <w:pPr>
        <w:jc w:val="both"/>
        <w:rPr>
          <w:rFonts w:cstheme="minorHAnsi"/>
          <w:color w:val="000000"/>
        </w:rPr>
      </w:pPr>
      <w:r>
        <w:rPr>
          <w:rFonts w:cstheme="minorHAnsi"/>
          <w:color w:val="000000"/>
        </w:rPr>
        <w:t>Dodavatelé</w:t>
      </w:r>
      <w:r w:rsidRPr="009912C2">
        <w:rPr>
          <w:rFonts w:cstheme="minorHAnsi"/>
          <w:color w:val="000000"/>
        </w:rPr>
        <w:t xml:space="preserve"> podají nabídku</w:t>
      </w:r>
      <w:r w:rsidRPr="001A4BC8">
        <w:rPr>
          <w:rFonts w:cstheme="minorHAnsi"/>
          <w:color w:val="000000"/>
        </w:rPr>
        <w:t xml:space="preserve"> v uzavřené neporušené obálce označené heslem </w:t>
      </w:r>
      <w:r w:rsidRPr="001A4BC8">
        <w:rPr>
          <w:rFonts w:cstheme="minorHAnsi"/>
          <w:b/>
          <w:color w:val="000000"/>
        </w:rPr>
        <w:t>„NEOT</w:t>
      </w:r>
      <w:r>
        <w:rPr>
          <w:rFonts w:cstheme="minorHAnsi"/>
          <w:b/>
          <w:color w:val="000000"/>
        </w:rPr>
        <w:t>E</w:t>
      </w:r>
      <w:r w:rsidRPr="001A4BC8">
        <w:rPr>
          <w:rFonts w:cstheme="minorHAnsi"/>
          <w:b/>
          <w:color w:val="000000"/>
        </w:rPr>
        <w:t xml:space="preserve">VÍRAT – SOUTĚŽ“ </w:t>
      </w:r>
      <w:r w:rsidRPr="001A4BC8">
        <w:rPr>
          <w:rFonts w:cstheme="minorHAnsi"/>
          <w:color w:val="000000"/>
        </w:rPr>
        <w:t xml:space="preserve">a s názvem </w:t>
      </w:r>
      <w:r>
        <w:rPr>
          <w:rFonts w:cstheme="minorHAnsi"/>
          <w:color w:val="000000"/>
        </w:rPr>
        <w:t xml:space="preserve">VZ: </w:t>
      </w:r>
      <w:r w:rsidRPr="001A4BC8">
        <w:rPr>
          <w:rFonts w:cstheme="minorHAnsi"/>
          <w:b/>
          <w:color w:val="000000"/>
        </w:rPr>
        <w:t>„</w:t>
      </w:r>
      <w:r w:rsidRPr="000E6C57">
        <w:rPr>
          <w:rFonts w:cstheme="minorHAnsi"/>
          <w:b/>
        </w:rPr>
        <w:t>Bourání masa 29-021-H</w:t>
      </w:r>
      <w:r w:rsidRPr="001A4BC8">
        <w:rPr>
          <w:rFonts w:cstheme="minorHAnsi"/>
          <w:b/>
          <w:color w:val="000000"/>
        </w:rPr>
        <w:t xml:space="preserve">“. </w:t>
      </w:r>
      <w:r w:rsidRPr="001A4BC8">
        <w:rPr>
          <w:rFonts w:cstheme="minorHAnsi"/>
          <w:color w:val="000000"/>
        </w:rPr>
        <w:t xml:space="preserve">Obálka či jiný obal </w:t>
      </w:r>
      <w:r>
        <w:rPr>
          <w:rFonts w:cstheme="minorHAnsi"/>
          <w:color w:val="000000"/>
        </w:rPr>
        <w:t>musí být</w:t>
      </w:r>
      <w:r w:rsidRPr="001A4BC8">
        <w:rPr>
          <w:rFonts w:cstheme="minorHAnsi"/>
          <w:color w:val="000000"/>
        </w:rPr>
        <w:t xml:space="preserve"> odpovídajícím </w:t>
      </w:r>
      <w:r w:rsidRPr="001A4BC8">
        <w:rPr>
          <w:rFonts w:cstheme="minorHAnsi"/>
          <w:color w:val="000000"/>
        </w:rPr>
        <w:lastRenderedPageBreak/>
        <w:t>způsobem zajištěn proti manipulaci.</w:t>
      </w:r>
      <w:r>
        <w:rPr>
          <w:rFonts w:cstheme="minorHAnsi"/>
          <w:color w:val="000000"/>
        </w:rPr>
        <w:t xml:space="preserve"> Na obálce musí být uvedena kontaktní adresa dodavatele ucházejícího se zakázku.</w:t>
      </w:r>
      <w:r w:rsidRPr="001A4BC8">
        <w:rPr>
          <w:rFonts w:cstheme="minorHAnsi"/>
          <w:color w:val="000000"/>
        </w:rPr>
        <w:t xml:space="preserve">     </w:t>
      </w:r>
    </w:p>
    <w:p w:rsidR="0086451C" w:rsidP="0086451C" w:rsidRDefault="0086451C">
      <w:pPr>
        <w:jc w:val="both"/>
        <w:rPr>
          <w:rFonts w:cstheme="minorHAnsi"/>
          <w:color w:val="000000"/>
        </w:rPr>
      </w:pPr>
    </w:p>
    <w:p w:rsidRPr="001A4BC8" w:rsidR="0086451C" w:rsidP="0086451C" w:rsidRDefault="0086451C">
      <w:pPr>
        <w:jc w:val="both"/>
        <w:rPr>
          <w:rFonts w:cstheme="minorHAnsi"/>
          <w:color w:val="000000"/>
        </w:rPr>
      </w:pPr>
      <w:r w:rsidRPr="001A4BC8">
        <w:rPr>
          <w:rFonts w:cstheme="minorHAnsi"/>
          <w:color w:val="000000"/>
        </w:rPr>
        <w:t xml:space="preserve">S pozdravem                                                               </w:t>
      </w:r>
    </w:p>
    <w:p w:rsidR="0086451C" w:rsidP="0086451C" w:rsidRDefault="0086451C">
      <w:pPr>
        <w:jc w:val="both"/>
        <w:outlineLvl w:val="0"/>
        <w:rPr>
          <w:rFonts w:cstheme="minorHAnsi"/>
        </w:rPr>
      </w:pPr>
    </w:p>
    <w:p w:rsidR="0086451C" w:rsidP="0086451C" w:rsidRDefault="0086451C">
      <w:pPr>
        <w:jc w:val="both"/>
        <w:outlineLvl w:val="0"/>
        <w:rPr>
          <w:rFonts w:cstheme="minorHAnsi"/>
        </w:rPr>
      </w:pPr>
    </w:p>
    <w:p w:rsidRPr="001A4BC8" w:rsidR="0086451C" w:rsidP="0086451C" w:rsidRDefault="0086451C">
      <w:pPr>
        <w:jc w:val="both"/>
        <w:outlineLvl w:val="0"/>
        <w:rPr>
          <w:rFonts w:cstheme="minorHAnsi"/>
        </w:rPr>
      </w:pPr>
      <w:r w:rsidRPr="001A4BC8">
        <w:rPr>
          <w:rFonts w:cstheme="minorHAnsi"/>
        </w:rPr>
        <w:t>Ing. Jiří Šabata</w:t>
      </w:r>
    </w:p>
    <w:p w:rsidR="0086451C" w:rsidP="0086451C" w:rsidRDefault="0086451C">
      <w:pPr>
        <w:jc w:val="both"/>
        <w:rPr>
          <w:rFonts w:cstheme="minorHAnsi"/>
        </w:rPr>
      </w:pPr>
      <w:r w:rsidRPr="001A4BC8">
        <w:rPr>
          <w:rFonts w:cstheme="minorHAnsi"/>
        </w:rPr>
        <w:t>ředitel krajské pobočky</w:t>
      </w:r>
    </w:p>
    <w:p w:rsidR="0086451C" w:rsidP="0086451C" w:rsidRDefault="0086451C">
      <w:pPr>
        <w:jc w:val="both"/>
        <w:rPr>
          <w:rFonts w:cstheme="minorHAnsi"/>
        </w:rPr>
      </w:pPr>
    </w:p>
    <w:p w:rsidRPr="001A4BC8" w:rsidR="0086451C" w:rsidP="0086451C" w:rsidRDefault="0086451C">
      <w:pPr>
        <w:jc w:val="both"/>
        <w:rPr>
          <w:rFonts w:cstheme="minorHAnsi"/>
        </w:rPr>
      </w:pPr>
    </w:p>
    <w:p w:rsidRPr="00FE1771" w:rsidR="0086451C" w:rsidP="0086451C" w:rsidRDefault="0086451C">
      <w:pPr>
        <w:jc w:val="both"/>
        <w:rPr>
          <w:rFonts w:cstheme="minorHAnsi"/>
        </w:rPr>
      </w:pPr>
      <w:r>
        <w:rPr>
          <w:rFonts w:cstheme="minorHAnsi"/>
        </w:rPr>
        <w:t>P</w:t>
      </w:r>
      <w:r w:rsidRPr="00FE1771">
        <w:rPr>
          <w:rFonts w:cstheme="minorHAnsi"/>
        </w:rPr>
        <w:t xml:space="preserve">říloha </w:t>
      </w:r>
      <w:proofErr w:type="gramStart"/>
      <w:r w:rsidRPr="00FE1771">
        <w:rPr>
          <w:rFonts w:cstheme="minorHAnsi"/>
        </w:rPr>
        <w:t>č. 1</w:t>
      </w:r>
      <w:r>
        <w:rPr>
          <w:rFonts w:cstheme="minorHAnsi"/>
        </w:rPr>
        <w:t xml:space="preserve">     </w:t>
      </w:r>
      <w:r w:rsidRPr="00FE1771">
        <w:rPr>
          <w:rFonts w:cstheme="minorHAnsi"/>
        </w:rPr>
        <w:t xml:space="preserve"> Krycí</w:t>
      </w:r>
      <w:proofErr w:type="gramEnd"/>
      <w:r w:rsidRPr="00FE1771">
        <w:rPr>
          <w:rFonts w:cstheme="minorHAnsi"/>
        </w:rPr>
        <w:t xml:space="preserve"> list nabídky</w:t>
      </w:r>
    </w:p>
    <w:p w:rsidRPr="00FE1771" w:rsidR="0086451C" w:rsidP="0086451C" w:rsidRDefault="0086451C">
      <w:pPr>
        <w:jc w:val="both"/>
        <w:rPr>
          <w:rFonts w:cstheme="minorHAnsi"/>
        </w:rPr>
      </w:pPr>
      <w:r>
        <w:rPr>
          <w:rFonts w:cstheme="minorHAnsi"/>
        </w:rPr>
        <w:t>P</w:t>
      </w:r>
      <w:r w:rsidRPr="00FE1771">
        <w:rPr>
          <w:rFonts w:cstheme="minorHAnsi"/>
        </w:rPr>
        <w:t xml:space="preserve">říloha </w:t>
      </w:r>
      <w:proofErr w:type="gramStart"/>
      <w:r w:rsidRPr="00FE1771">
        <w:rPr>
          <w:rFonts w:cstheme="minorHAnsi"/>
        </w:rPr>
        <w:t>č. 2</w:t>
      </w:r>
      <w:r>
        <w:rPr>
          <w:rFonts w:cstheme="minorHAnsi"/>
        </w:rPr>
        <w:t xml:space="preserve">     </w:t>
      </w:r>
      <w:r w:rsidRPr="00FE1771">
        <w:rPr>
          <w:rFonts w:cstheme="minorHAnsi"/>
        </w:rPr>
        <w:t xml:space="preserve"> Čestné</w:t>
      </w:r>
      <w:proofErr w:type="gramEnd"/>
      <w:r w:rsidRPr="00FE1771">
        <w:rPr>
          <w:rFonts w:cstheme="minorHAnsi"/>
        </w:rPr>
        <w:t xml:space="preserve"> prohlášení</w:t>
      </w:r>
      <w:r>
        <w:rPr>
          <w:rFonts w:cstheme="minorHAnsi"/>
        </w:rPr>
        <w:t xml:space="preserve"> k prokázání základních kvalifikačních kritérií</w:t>
      </w:r>
    </w:p>
    <w:p w:rsidRPr="00FE1771" w:rsidR="0086451C" w:rsidP="0086451C" w:rsidRDefault="0086451C">
      <w:pPr>
        <w:jc w:val="both"/>
        <w:rPr>
          <w:rFonts w:cstheme="minorHAnsi"/>
        </w:rPr>
      </w:pPr>
      <w:r>
        <w:rPr>
          <w:rFonts w:cstheme="minorHAnsi"/>
        </w:rPr>
        <w:t xml:space="preserve">Příloha </w:t>
      </w:r>
      <w:proofErr w:type="gramStart"/>
      <w:r w:rsidRPr="00FE1771">
        <w:rPr>
          <w:rFonts w:cstheme="minorHAnsi"/>
        </w:rPr>
        <w:t>č. 3</w:t>
      </w:r>
      <w:r>
        <w:rPr>
          <w:rFonts w:cstheme="minorHAnsi"/>
        </w:rPr>
        <w:t xml:space="preserve">     </w:t>
      </w:r>
      <w:r w:rsidRPr="00FE1771">
        <w:rPr>
          <w:rFonts w:cstheme="minorHAnsi"/>
        </w:rPr>
        <w:t xml:space="preserve"> Dohoda</w:t>
      </w:r>
      <w:proofErr w:type="gramEnd"/>
      <w:r w:rsidRPr="00FE1771">
        <w:rPr>
          <w:rFonts w:cstheme="minorHAnsi"/>
        </w:rPr>
        <w:t xml:space="preserve"> o provedení rekvalifikace</w:t>
      </w:r>
      <w:r>
        <w:rPr>
          <w:rFonts w:cstheme="minorHAnsi"/>
        </w:rPr>
        <w:t xml:space="preserve"> – pro informaci</w:t>
      </w:r>
    </w:p>
    <w:p w:rsidR="0086451C" w:rsidP="0086451C" w:rsidRDefault="0086451C">
      <w:pPr>
        <w:jc w:val="both"/>
        <w:rPr>
          <w:rFonts w:cstheme="minorHAnsi"/>
        </w:rPr>
      </w:pPr>
    </w:p>
    <w:p w:rsidR="0086451C" w:rsidP="0086451C" w:rsidRDefault="0086451C">
      <w:pPr>
        <w:jc w:val="both"/>
      </w:pPr>
      <w:r>
        <w:br w:type="page"/>
      </w:r>
    </w:p>
    <w:p w:rsidR="0086451C" w:rsidP="0086451C" w:rsidRDefault="0086451C">
      <w:pPr>
        <w:jc w:val="both"/>
      </w:pPr>
      <w:r>
        <w:lastRenderedPageBreak/>
        <w:t>Příloha č. 1</w:t>
      </w:r>
    </w:p>
    <w:p w:rsidR="0086451C" w:rsidP="0086451C" w:rsidRDefault="0086451C">
      <w:pPr>
        <w:jc w:val="both"/>
      </w:pPr>
    </w:p>
    <w:p w:rsidR="0086451C" w:rsidP="0086451C" w:rsidRDefault="0086451C">
      <w:pPr>
        <w:pStyle w:val="Nadpis2"/>
        <w:spacing w:line="276" w:lineRule="auto"/>
        <w:jc w:val="center"/>
        <w:rPr>
          <w:i w:val="false"/>
          <w:sz w:val="40"/>
          <w:szCs w:val="40"/>
        </w:rPr>
      </w:pPr>
      <w:r>
        <w:rPr>
          <w:i w:val="false"/>
          <w:sz w:val="40"/>
          <w:szCs w:val="40"/>
        </w:rPr>
        <w:t>KRYCÍ LIST NABÍDKY</w:t>
      </w:r>
    </w:p>
    <w:p w:rsidR="0086451C" w:rsidP="0086451C" w:rsidRDefault="0086451C">
      <w:pPr>
        <w:jc w:val="both"/>
        <w:rPr>
          <w:b/>
        </w:rPr>
      </w:pPr>
      <w:r>
        <w:rPr>
          <w:b/>
        </w:rPr>
        <w:t xml:space="preserve">                                                na zabezpečení rekvalifikace „</w:t>
      </w:r>
      <w:r w:rsidRPr="000E6C57">
        <w:rPr>
          <w:rFonts w:cstheme="minorHAnsi"/>
          <w:b/>
        </w:rPr>
        <w:t>Bourání masa 29-021-H</w:t>
      </w:r>
      <w:r>
        <w:rPr>
          <w:b/>
        </w:rPr>
        <w:t>“.</w:t>
      </w:r>
    </w:p>
    <w:p w:rsidR="0086451C" w:rsidP="0086451C" w:rsidRDefault="0086451C">
      <w:pPr>
        <w:jc w:val="both"/>
        <w:rPr>
          <w:b/>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firstRow="1" w:lastRow="1" w:firstColumn="1" w:lastColumn="1" w:noHBand="0" w:noVBand="0" w:val="01E0"/>
      </w:tblPr>
      <w:tblGrid>
        <w:gridCol w:w="2750"/>
        <w:gridCol w:w="6430"/>
      </w:tblGrid>
      <w:tr w:rsidRPr="00A97956" w:rsidR="0086451C" w:rsidTr="007C62B9">
        <w:trPr>
          <w:trHeight w:val="1200"/>
        </w:trPr>
        <w:tc>
          <w:tcPr>
            <w:tcW w:w="2835" w:type="dxa"/>
            <w:tcBorders>
              <w:top w:val="single" w:color="auto" w:sz="4" w:space="0"/>
              <w:left w:val="single" w:color="auto" w:sz="4" w:space="0"/>
              <w:bottom w:val="single" w:color="auto" w:sz="6" w:space="0"/>
              <w:right w:val="single" w:color="auto" w:sz="6" w:space="0"/>
            </w:tcBorders>
          </w:tcPr>
          <w:p w:rsidRPr="00A97956" w:rsidR="0086451C" w:rsidP="007C62B9" w:rsidRDefault="0086451C">
            <w:pPr>
              <w:spacing w:after="120"/>
              <w:ind w:left="283"/>
              <w:jc w:val="both"/>
              <w:rPr>
                <w:b/>
                <w:sz w:val="20"/>
                <w:szCs w:val="20"/>
              </w:rPr>
            </w:pPr>
          </w:p>
          <w:p w:rsidRPr="00A97956" w:rsidR="0086451C" w:rsidP="007C62B9" w:rsidRDefault="0086451C">
            <w:pPr>
              <w:spacing w:after="120"/>
              <w:ind w:left="283"/>
              <w:jc w:val="both"/>
              <w:rPr>
                <w:b/>
                <w:sz w:val="20"/>
                <w:szCs w:val="20"/>
              </w:rPr>
            </w:pPr>
            <w:r w:rsidRPr="00A97956">
              <w:rPr>
                <w:b/>
                <w:sz w:val="20"/>
                <w:szCs w:val="20"/>
              </w:rPr>
              <w:t>Název uchazeče (obchodní firma nebo název):</w:t>
            </w:r>
          </w:p>
        </w:tc>
        <w:tc>
          <w:tcPr>
            <w:tcW w:w="6804" w:type="dxa"/>
            <w:tcBorders>
              <w:top w:val="single" w:color="auto" w:sz="4" w:space="0"/>
              <w:left w:val="single" w:color="auto" w:sz="6" w:space="0"/>
              <w:bottom w:val="single" w:color="auto" w:sz="6" w:space="0"/>
              <w:right w:val="single" w:color="auto" w:sz="4" w:space="0"/>
            </w:tcBorders>
          </w:tcPr>
          <w:p w:rsidRPr="00A97956" w:rsidR="0086451C" w:rsidP="007C62B9" w:rsidRDefault="0086451C">
            <w:pPr>
              <w:spacing w:after="120"/>
              <w:ind w:left="283"/>
              <w:jc w:val="both"/>
              <w:rPr>
                <w:b/>
                <w:sz w:val="20"/>
                <w:szCs w:val="20"/>
              </w:rPr>
            </w:pPr>
          </w:p>
        </w:tc>
      </w:tr>
      <w:tr w:rsidRPr="00A97956" w:rsidR="0086451C" w:rsidTr="007C62B9">
        <w:trPr>
          <w:trHeight w:val="1052"/>
        </w:trPr>
        <w:tc>
          <w:tcPr>
            <w:tcW w:w="2835" w:type="dxa"/>
            <w:tcBorders>
              <w:top w:val="single" w:color="auto" w:sz="6" w:space="0"/>
              <w:left w:val="single" w:color="auto" w:sz="4" w:space="0"/>
              <w:bottom w:val="single" w:color="auto" w:sz="6" w:space="0"/>
              <w:right w:val="single" w:color="auto" w:sz="6" w:space="0"/>
            </w:tcBorders>
          </w:tcPr>
          <w:p w:rsidRPr="00A97956" w:rsidR="0086451C" w:rsidP="007C62B9" w:rsidRDefault="0086451C">
            <w:pPr>
              <w:spacing w:after="120"/>
              <w:ind w:left="283"/>
              <w:rPr>
                <w:b/>
                <w:sz w:val="20"/>
                <w:szCs w:val="20"/>
              </w:rPr>
            </w:pPr>
          </w:p>
          <w:p w:rsidRPr="00A97956" w:rsidR="0086451C" w:rsidP="007C62B9" w:rsidRDefault="0086451C">
            <w:pPr>
              <w:spacing w:after="120"/>
              <w:ind w:left="283"/>
              <w:rPr>
                <w:b/>
                <w:sz w:val="20"/>
                <w:szCs w:val="20"/>
              </w:rPr>
            </w:pPr>
            <w:r w:rsidRPr="00A97956">
              <w:rPr>
                <w:b/>
                <w:sz w:val="20"/>
                <w:szCs w:val="20"/>
              </w:rPr>
              <w:t>Adresa uchazeče (celá adresa včetně PSČ):</w:t>
            </w:r>
          </w:p>
        </w:tc>
        <w:tc>
          <w:tcPr>
            <w:tcW w:w="6804" w:type="dxa"/>
            <w:tcBorders>
              <w:top w:val="single" w:color="auto" w:sz="6" w:space="0"/>
              <w:left w:val="single" w:color="auto" w:sz="6" w:space="0"/>
              <w:bottom w:val="single" w:color="auto" w:sz="6" w:space="0"/>
              <w:right w:val="single" w:color="auto" w:sz="4" w:space="0"/>
            </w:tcBorders>
          </w:tcPr>
          <w:p w:rsidRPr="00A97956" w:rsidR="0086451C" w:rsidP="007C62B9" w:rsidRDefault="0086451C">
            <w:pPr>
              <w:spacing w:after="120"/>
              <w:ind w:left="283"/>
              <w:jc w:val="both"/>
              <w:rPr>
                <w:b/>
                <w:sz w:val="20"/>
                <w:szCs w:val="20"/>
              </w:rPr>
            </w:pPr>
          </w:p>
        </w:tc>
      </w:tr>
      <w:tr w:rsidRPr="00A97956" w:rsidR="0086451C" w:rsidTr="007C62B9">
        <w:tc>
          <w:tcPr>
            <w:tcW w:w="2835" w:type="dxa"/>
            <w:tcBorders>
              <w:top w:val="single" w:color="auto" w:sz="6" w:space="0"/>
              <w:left w:val="single" w:color="auto" w:sz="4" w:space="0"/>
              <w:bottom w:val="single" w:color="auto" w:sz="6" w:space="0"/>
              <w:right w:val="single" w:color="auto" w:sz="6" w:space="0"/>
            </w:tcBorders>
          </w:tcPr>
          <w:p w:rsidRPr="00A97956" w:rsidR="0086451C" w:rsidP="007C62B9" w:rsidRDefault="0086451C">
            <w:pPr>
              <w:spacing w:after="120"/>
              <w:ind w:left="283"/>
              <w:jc w:val="both"/>
              <w:rPr>
                <w:b/>
                <w:sz w:val="20"/>
                <w:szCs w:val="20"/>
              </w:rPr>
            </w:pPr>
            <w:r w:rsidRPr="00A97956">
              <w:rPr>
                <w:b/>
                <w:sz w:val="20"/>
                <w:szCs w:val="20"/>
              </w:rPr>
              <w:t>Právní forma:</w:t>
            </w:r>
          </w:p>
        </w:tc>
        <w:tc>
          <w:tcPr>
            <w:tcW w:w="6804" w:type="dxa"/>
            <w:tcBorders>
              <w:top w:val="single" w:color="auto" w:sz="6" w:space="0"/>
              <w:left w:val="single" w:color="auto" w:sz="6" w:space="0"/>
              <w:bottom w:val="single" w:color="auto" w:sz="6" w:space="0"/>
              <w:right w:val="single" w:color="auto" w:sz="4" w:space="0"/>
            </w:tcBorders>
          </w:tcPr>
          <w:p w:rsidRPr="00A97956" w:rsidR="0086451C" w:rsidP="007C62B9" w:rsidRDefault="0086451C">
            <w:pPr>
              <w:spacing w:after="120"/>
              <w:ind w:left="283"/>
              <w:jc w:val="both"/>
              <w:rPr>
                <w:b/>
                <w:sz w:val="20"/>
                <w:szCs w:val="20"/>
              </w:rPr>
            </w:pPr>
          </w:p>
        </w:tc>
      </w:tr>
      <w:tr w:rsidRPr="00A97956" w:rsidR="0086451C" w:rsidTr="007C62B9">
        <w:tc>
          <w:tcPr>
            <w:tcW w:w="2835" w:type="dxa"/>
            <w:tcBorders>
              <w:top w:val="single" w:color="auto" w:sz="6" w:space="0"/>
              <w:left w:val="single" w:color="auto" w:sz="4" w:space="0"/>
              <w:bottom w:val="single" w:color="auto" w:sz="6" w:space="0"/>
              <w:right w:val="single" w:color="auto" w:sz="6" w:space="0"/>
            </w:tcBorders>
          </w:tcPr>
          <w:p w:rsidRPr="00A97956" w:rsidR="0086451C" w:rsidP="007C62B9" w:rsidRDefault="0086451C">
            <w:pPr>
              <w:spacing w:after="120"/>
              <w:ind w:left="283"/>
              <w:jc w:val="both"/>
              <w:rPr>
                <w:b/>
                <w:sz w:val="20"/>
                <w:szCs w:val="20"/>
              </w:rPr>
            </w:pPr>
            <w:r w:rsidRPr="00A97956">
              <w:rPr>
                <w:b/>
                <w:sz w:val="20"/>
                <w:szCs w:val="20"/>
              </w:rPr>
              <w:t>IČ:</w:t>
            </w:r>
          </w:p>
        </w:tc>
        <w:tc>
          <w:tcPr>
            <w:tcW w:w="6804" w:type="dxa"/>
            <w:tcBorders>
              <w:top w:val="single" w:color="auto" w:sz="6" w:space="0"/>
              <w:left w:val="single" w:color="auto" w:sz="6" w:space="0"/>
              <w:bottom w:val="single" w:color="auto" w:sz="6" w:space="0"/>
              <w:right w:val="single" w:color="auto" w:sz="4" w:space="0"/>
            </w:tcBorders>
          </w:tcPr>
          <w:p w:rsidRPr="00A97956" w:rsidR="0086451C" w:rsidP="007C62B9" w:rsidRDefault="0086451C">
            <w:pPr>
              <w:spacing w:after="120"/>
              <w:ind w:left="283"/>
              <w:jc w:val="both"/>
              <w:rPr>
                <w:b/>
                <w:sz w:val="20"/>
                <w:szCs w:val="20"/>
              </w:rPr>
            </w:pPr>
          </w:p>
        </w:tc>
      </w:tr>
      <w:tr w:rsidRPr="00A97956" w:rsidR="0086451C" w:rsidTr="007C62B9">
        <w:tc>
          <w:tcPr>
            <w:tcW w:w="2835" w:type="dxa"/>
            <w:tcBorders>
              <w:top w:val="single" w:color="auto" w:sz="6" w:space="0"/>
              <w:left w:val="single" w:color="auto" w:sz="4" w:space="0"/>
              <w:bottom w:val="single" w:color="auto" w:sz="6" w:space="0"/>
              <w:right w:val="single" w:color="auto" w:sz="6" w:space="0"/>
            </w:tcBorders>
          </w:tcPr>
          <w:p w:rsidRPr="00A97956" w:rsidR="0086451C" w:rsidP="007C62B9" w:rsidRDefault="0086451C">
            <w:pPr>
              <w:spacing w:after="120"/>
              <w:ind w:left="283"/>
              <w:jc w:val="both"/>
              <w:rPr>
                <w:b/>
                <w:sz w:val="20"/>
                <w:szCs w:val="20"/>
              </w:rPr>
            </w:pPr>
            <w:r w:rsidRPr="00A97956">
              <w:rPr>
                <w:b/>
                <w:sz w:val="20"/>
                <w:szCs w:val="20"/>
              </w:rPr>
              <w:t>DIČ:</w:t>
            </w:r>
          </w:p>
        </w:tc>
        <w:tc>
          <w:tcPr>
            <w:tcW w:w="6804" w:type="dxa"/>
            <w:tcBorders>
              <w:top w:val="single" w:color="auto" w:sz="6" w:space="0"/>
              <w:left w:val="single" w:color="auto" w:sz="6" w:space="0"/>
              <w:bottom w:val="single" w:color="auto" w:sz="6" w:space="0"/>
              <w:right w:val="single" w:color="auto" w:sz="4" w:space="0"/>
            </w:tcBorders>
          </w:tcPr>
          <w:p w:rsidRPr="00A97956" w:rsidR="0086451C" w:rsidP="007C62B9" w:rsidRDefault="0086451C">
            <w:pPr>
              <w:spacing w:after="120"/>
              <w:ind w:left="283"/>
              <w:jc w:val="both"/>
              <w:rPr>
                <w:b/>
                <w:sz w:val="20"/>
                <w:szCs w:val="20"/>
              </w:rPr>
            </w:pPr>
          </w:p>
        </w:tc>
      </w:tr>
      <w:tr w:rsidRPr="00A97956" w:rsidR="0086451C" w:rsidTr="007C62B9">
        <w:tc>
          <w:tcPr>
            <w:tcW w:w="2835" w:type="dxa"/>
            <w:tcBorders>
              <w:top w:val="single" w:color="auto" w:sz="6" w:space="0"/>
              <w:left w:val="single" w:color="auto" w:sz="4" w:space="0"/>
              <w:bottom w:val="single" w:color="auto" w:sz="6" w:space="0"/>
              <w:right w:val="single" w:color="auto" w:sz="6" w:space="0"/>
            </w:tcBorders>
          </w:tcPr>
          <w:p w:rsidRPr="00A97956" w:rsidR="0086451C" w:rsidP="007C62B9" w:rsidRDefault="0086451C">
            <w:pPr>
              <w:spacing w:after="120"/>
              <w:ind w:left="283"/>
              <w:jc w:val="both"/>
              <w:rPr>
                <w:b/>
                <w:sz w:val="20"/>
                <w:szCs w:val="20"/>
              </w:rPr>
            </w:pPr>
            <w:r w:rsidRPr="00A97956">
              <w:rPr>
                <w:b/>
                <w:sz w:val="20"/>
                <w:szCs w:val="20"/>
              </w:rPr>
              <w:t>Zástupce uchazeče:</w:t>
            </w:r>
          </w:p>
        </w:tc>
        <w:tc>
          <w:tcPr>
            <w:tcW w:w="6804" w:type="dxa"/>
            <w:tcBorders>
              <w:top w:val="single" w:color="auto" w:sz="6" w:space="0"/>
              <w:left w:val="single" w:color="auto" w:sz="6" w:space="0"/>
              <w:bottom w:val="single" w:color="auto" w:sz="6" w:space="0"/>
              <w:right w:val="single" w:color="auto" w:sz="4" w:space="0"/>
            </w:tcBorders>
          </w:tcPr>
          <w:p w:rsidRPr="00A97956" w:rsidR="0086451C" w:rsidP="007C62B9" w:rsidRDefault="0086451C">
            <w:pPr>
              <w:spacing w:after="120"/>
              <w:ind w:left="283"/>
              <w:jc w:val="both"/>
              <w:rPr>
                <w:b/>
                <w:sz w:val="20"/>
                <w:szCs w:val="20"/>
              </w:rPr>
            </w:pPr>
          </w:p>
        </w:tc>
      </w:tr>
      <w:tr w:rsidRPr="00A97956" w:rsidR="0086451C" w:rsidTr="007C62B9">
        <w:tc>
          <w:tcPr>
            <w:tcW w:w="2835" w:type="dxa"/>
            <w:tcBorders>
              <w:top w:val="single" w:color="auto" w:sz="6" w:space="0"/>
              <w:left w:val="single" w:color="auto" w:sz="4" w:space="0"/>
              <w:bottom w:val="single" w:color="auto" w:sz="4" w:space="0"/>
              <w:right w:val="single" w:color="auto" w:sz="6" w:space="0"/>
            </w:tcBorders>
          </w:tcPr>
          <w:p w:rsidRPr="00A97956" w:rsidR="0086451C" w:rsidP="007C62B9" w:rsidRDefault="0086451C">
            <w:pPr>
              <w:spacing w:after="120"/>
              <w:ind w:left="283"/>
              <w:jc w:val="both"/>
              <w:rPr>
                <w:b/>
                <w:sz w:val="20"/>
                <w:szCs w:val="20"/>
              </w:rPr>
            </w:pPr>
            <w:r w:rsidRPr="00A97956">
              <w:rPr>
                <w:b/>
                <w:sz w:val="20"/>
                <w:szCs w:val="20"/>
              </w:rPr>
              <w:t>Kontakt na zástupce uchazeče (tel., fax, e-mail)</w:t>
            </w:r>
          </w:p>
        </w:tc>
        <w:tc>
          <w:tcPr>
            <w:tcW w:w="6804" w:type="dxa"/>
            <w:tcBorders>
              <w:top w:val="single" w:color="auto" w:sz="6" w:space="0"/>
              <w:left w:val="single" w:color="auto" w:sz="6" w:space="0"/>
              <w:bottom w:val="single" w:color="auto" w:sz="4" w:space="0"/>
              <w:right w:val="single" w:color="auto" w:sz="4" w:space="0"/>
            </w:tcBorders>
          </w:tcPr>
          <w:p w:rsidRPr="00A97956" w:rsidR="0086451C" w:rsidP="007C62B9" w:rsidRDefault="0086451C">
            <w:pPr>
              <w:spacing w:after="120"/>
              <w:ind w:left="283"/>
              <w:jc w:val="both"/>
              <w:rPr>
                <w:b/>
                <w:sz w:val="20"/>
                <w:szCs w:val="20"/>
              </w:rPr>
            </w:pPr>
          </w:p>
        </w:tc>
      </w:tr>
    </w:tbl>
    <w:p w:rsidRPr="00A97956" w:rsidR="0086451C" w:rsidP="0086451C" w:rsidRDefault="0086451C">
      <w:pPr>
        <w:jc w:val="both"/>
        <w:rPr>
          <w:b/>
          <w:sz w:val="20"/>
          <w:szCs w:val="20"/>
        </w:rPr>
      </w:pPr>
    </w:p>
    <w:p w:rsidRPr="00A97956" w:rsidR="0086451C" w:rsidP="0086451C" w:rsidRDefault="0086451C">
      <w:pPr>
        <w:jc w:val="both"/>
        <w:rPr>
          <w:b/>
          <w:sz w:val="20"/>
          <w:szCs w:val="20"/>
        </w:rPr>
      </w:pPr>
      <w:r w:rsidRPr="00A97956">
        <w:rPr>
          <w:b/>
          <w:sz w:val="20"/>
          <w:szCs w:val="20"/>
        </w:rPr>
        <w:t>Jednotné zpracování ceny:</w:t>
      </w:r>
    </w:p>
    <w:p w:rsidRPr="00A97956" w:rsidR="0086451C" w:rsidP="0086451C" w:rsidRDefault="0086451C">
      <w:pPr>
        <w:jc w:val="both"/>
        <w:rPr>
          <w:b/>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828"/>
        <w:gridCol w:w="3827"/>
      </w:tblGrid>
      <w:tr w:rsidRPr="00A97956" w:rsidR="0086451C" w:rsidTr="007C62B9">
        <w:tc>
          <w:tcPr>
            <w:tcW w:w="3828" w:type="dxa"/>
            <w:tcBorders>
              <w:top w:val="single" w:color="auto" w:sz="4" w:space="0"/>
              <w:left w:val="single" w:color="auto" w:sz="4" w:space="0"/>
              <w:bottom w:val="single" w:color="auto" w:sz="4" w:space="0"/>
              <w:right w:val="single" w:color="auto" w:sz="4" w:space="0"/>
            </w:tcBorders>
          </w:tcPr>
          <w:p w:rsidRPr="00A97956" w:rsidR="0086451C" w:rsidP="007C62B9" w:rsidRDefault="0086451C">
            <w:pPr>
              <w:spacing w:before="120" w:after="120"/>
              <w:jc w:val="both"/>
              <w:rPr>
                <w:b/>
                <w:sz w:val="20"/>
                <w:szCs w:val="20"/>
              </w:rPr>
            </w:pPr>
          </w:p>
        </w:tc>
        <w:tc>
          <w:tcPr>
            <w:tcW w:w="3827" w:type="dxa"/>
            <w:tcBorders>
              <w:top w:val="single" w:color="auto" w:sz="4" w:space="0"/>
              <w:left w:val="single" w:color="auto" w:sz="4" w:space="0"/>
              <w:bottom w:val="single" w:color="auto" w:sz="4" w:space="0"/>
              <w:right w:val="single" w:color="auto" w:sz="4" w:space="0"/>
            </w:tcBorders>
          </w:tcPr>
          <w:p w:rsidRPr="00A97956" w:rsidR="0086451C" w:rsidP="007C62B9" w:rsidRDefault="0086451C">
            <w:pPr>
              <w:spacing w:before="120" w:after="120"/>
              <w:jc w:val="center"/>
              <w:rPr>
                <w:b/>
                <w:sz w:val="20"/>
                <w:szCs w:val="20"/>
              </w:rPr>
            </w:pPr>
            <w:r>
              <w:rPr>
                <w:b/>
                <w:sz w:val="20"/>
                <w:szCs w:val="20"/>
              </w:rPr>
              <w:t>Nabídková cena</w:t>
            </w:r>
            <w:r w:rsidRPr="00A97956">
              <w:rPr>
                <w:b/>
                <w:sz w:val="20"/>
                <w:szCs w:val="20"/>
              </w:rPr>
              <w:t xml:space="preserve"> </w:t>
            </w:r>
            <w:r>
              <w:rPr>
                <w:b/>
                <w:sz w:val="20"/>
                <w:szCs w:val="20"/>
              </w:rPr>
              <w:t xml:space="preserve">v Kč </w:t>
            </w:r>
            <w:r w:rsidRPr="00A97956">
              <w:rPr>
                <w:b/>
                <w:sz w:val="20"/>
                <w:szCs w:val="20"/>
              </w:rPr>
              <w:t>bez DPH</w:t>
            </w:r>
          </w:p>
        </w:tc>
      </w:tr>
      <w:tr w:rsidRPr="00A97956" w:rsidR="0086451C" w:rsidTr="007C62B9">
        <w:tc>
          <w:tcPr>
            <w:tcW w:w="3828" w:type="dxa"/>
            <w:tcBorders>
              <w:top w:val="single" w:color="auto" w:sz="4" w:space="0"/>
              <w:left w:val="single" w:color="auto" w:sz="4" w:space="0"/>
              <w:bottom w:val="single" w:color="auto" w:sz="4" w:space="0"/>
              <w:right w:val="single" w:color="auto" w:sz="4" w:space="0"/>
            </w:tcBorders>
          </w:tcPr>
          <w:p w:rsidRPr="00F14002" w:rsidR="0086451C" w:rsidP="007C62B9" w:rsidRDefault="0086451C">
            <w:pPr>
              <w:spacing w:before="120" w:after="120"/>
              <w:jc w:val="both"/>
              <w:rPr>
                <w:sz w:val="20"/>
                <w:szCs w:val="20"/>
              </w:rPr>
            </w:pPr>
            <w:r>
              <w:rPr>
                <w:b/>
                <w:sz w:val="20"/>
                <w:szCs w:val="20"/>
              </w:rPr>
              <w:t>Celkem za</w:t>
            </w:r>
            <w:r>
              <w:rPr>
                <w:sz w:val="20"/>
                <w:szCs w:val="20"/>
              </w:rPr>
              <w:t xml:space="preserve"> </w:t>
            </w:r>
            <w:r w:rsidRPr="00F14002">
              <w:rPr>
                <w:sz w:val="20"/>
                <w:szCs w:val="20"/>
              </w:rPr>
              <w:t xml:space="preserve">předpokládaný počet účastníků </w:t>
            </w:r>
            <w:r>
              <w:rPr>
                <w:sz w:val="20"/>
                <w:szCs w:val="20"/>
              </w:rPr>
              <w:t>(2</w:t>
            </w:r>
            <w:r w:rsidRPr="00F14002">
              <w:rPr>
                <w:sz w:val="20"/>
                <w:szCs w:val="20"/>
              </w:rPr>
              <w:t>0</w:t>
            </w:r>
            <w:r>
              <w:rPr>
                <w:sz w:val="20"/>
                <w:szCs w:val="20"/>
              </w:rPr>
              <w:t xml:space="preserve"> osob)*</w:t>
            </w:r>
          </w:p>
        </w:tc>
        <w:tc>
          <w:tcPr>
            <w:tcW w:w="3827" w:type="dxa"/>
            <w:tcBorders>
              <w:top w:val="single" w:color="auto" w:sz="4" w:space="0"/>
              <w:left w:val="single" w:color="auto" w:sz="4" w:space="0"/>
              <w:bottom w:val="single" w:color="auto" w:sz="4" w:space="0"/>
              <w:right w:val="single" w:color="auto" w:sz="4" w:space="0"/>
            </w:tcBorders>
          </w:tcPr>
          <w:p w:rsidRPr="00A97956" w:rsidR="0086451C" w:rsidP="007C62B9" w:rsidRDefault="0086451C">
            <w:pPr>
              <w:spacing w:before="120" w:after="120"/>
              <w:jc w:val="both"/>
              <w:rPr>
                <w:sz w:val="20"/>
                <w:szCs w:val="20"/>
              </w:rPr>
            </w:pPr>
          </w:p>
        </w:tc>
      </w:tr>
      <w:tr w:rsidRPr="00A97956" w:rsidR="0086451C" w:rsidTr="007C62B9">
        <w:tc>
          <w:tcPr>
            <w:tcW w:w="3828" w:type="dxa"/>
            <w:tcBorders>
              <w:top w:val="single" w:color="auto" w:sz="4" w:space="0"/>
              <w:left w:val="single" w:color="auto" w:sz="4" w:space="0"/>
              <w:bottom w:val="single" w:color="auto" w:sz="4" w:space="0"/>
              <w:right w:val="single" w:color="auto" w:sz="4" w:space="0"/>
            </w:tcBorders>
          </w:tcPr>
          <w:p w:rsidRPr="00A97956" w:rsidR="0086451C" w:rsidP="007C62B9" w:rsidRDefault="0086451C">
            <w:pPr>
              <w:spacing w:before="120" w:after="120"/>
              <w:jc w:val="both"/>
              <w:rPr>
                <w:sz w:val="20"/>
                <w:szCs w:val="20"/>
              </w:rPr>
            </w:pPr>
            <w:r>
              <w:rPr>
                <w:sz w:val="20"/>
                <w:szCs w:val="20"/>
              </w:rPr>
              <w:t>Na 1 účastníka</w:t>
            </w:r>
          </w:p>
        </w:tc>
        <w:tc>
          <w:tcPr>
            <w:tcW w:w="3827" w:type="dxa"/>
            <w:tcBorders>
              <w:top w:val="single" w:color="auto" w:sz="4" w:space="0"/>
              <w:left w:val="single" w:color="auto" w:sz="4" w:space="0"/>
              <w:bottom w:val="single" w:color="auto" w:sz="4" w:space="0"/>
              <w:right w:val="single" w:color="auto" w:sz="4" w:space="0"/>
            </w:tcBorders>
          </w:tcPr>
          <w:p w:rsidRPr="00A97956" w:rsidR="0086451C" w:rsidP="007C62B9" w:rsidRDefault="0086451C">
            <w:pPr>
              <w:spacing w:before="120" w:after="120"/>
              <w:jc w:val="both"/>
              <w:rPr>
                <w:sz w:val="20"/>
                <w:szCs w:val="20"/>
              </w:rPr>
            </w:pPr>
          </w:p>
        </w:tc>
      </w:tr>
    </w:tbl>
    <w:p w:rsidRPr="00B50F22" w:rsidR="0086451C" w:rsidP="0086451C" w:rsidRDefault="0086451C">
      <w:pPr>
        <w:jc w:val="both"/>
        <w:rPr>
          <w:i/>
          <w:sz w:val="20"/>
          <w:szCs w:val="20"/>
        </w:rPr>
      </w:pPr>
      <w:r w:rsidRPr="00B50F22">
        <w:rPr>
          <w:i/>
          <w:sz w:val="20"/>
          <w:szCs w:val="20"/>
        </w:rPr>
        <w:t xml:space="preserve">* jedná se o cenu </w:t>
      </w:r>
      <w:r>
        <w:rPr>
          <w:i/>
          <w:sz w:val="20"/>
          <w:szCs w:val="20"/>
        </w:rPr>
        <w:t xml:space="preserve">v Kč bez DPH </w:t>
      </w:r>
      <w:r w:rsidRPr="00B50F22">
        <w:rPr>
          <w:i/>
          <w:sz w:val="20"/>
          <w:szCs w:val="20"/>
        </w:rPr>
        <w:t xml:space="preserve">na jednoho účastníka krát 20 </w:t>
      </w:r>
    </w:p>
    <w:p w:rsidRPr="00A97956" w:rsidR="0086451C" w:rsidP="0086451C" w:rsidRDefault="0086451C">
      <w:pPr>
        <w:jc w:val="both"/>
        <w:rPr>
          <w:b/>
          <w:sz w:val="20"/>
          <w:szCs w:val="20"/>
        </w:rPr>
      </w:pPr>
    </w:p>
    <w:p w:rsidRPr="00A97956" w:rsidR="0086451C" w:rsidP="0086451C" w:rsidRDefault="0086451C">
      <w:pPr>
        <w:jc w:val="both"/>
        <w:rPr>
          <w:b/>
          <w:sz w:val="20"/>
          <w:szCs w:val="20"/>
        </w:rPr>
      </w:pPr>
    </w:p>
    <w:p w:rsidRPr="00A97956" w:rsidR="0086451C" w:rsidP="0086451C" w:rsidRDefault="0086451C">
      <w:pPr>
        <w:jc w:val="both"/>
        <w:rPr>
          <w:b/>
          <w:sz w:val="20"/>
          <w:szCs w:val="20"/>
        </w:rPr>
      </w:pPr>
    </w:p>
    <w:p w:rsidRPr="00A97956" w:rsidR="0086451C" w:rsidP="0086451C" w:rsidRDefault="0086451C">
      <w:pPr>
        <w:jc w:val="both"/>
        <w:rPr>
          <w:b/>
          <w:sz w:val="20"/>
          <w:szCs w:val="20"/>
        </w:rPr>
      </w:pPr>
    </w:p>
    <w:p w:rsidRPr="00A97956" w:rsidR="0086451C" w:rsidP="0086451C" w:rsidRDefault="0086451C">
      <w:pPr>
        <w:jc w:val="center"/>
        <w:rPr>
          <w:sz w:val="20"/>
          <w:szCs w:val="20"/>
        </w:rPr>
      </w:pPr>
      <w:r w:rsidRPr="00A97956">
        <w:rPr>
          <w:sz w:val="20"/>
          <w:szCs w:val="20"/>
        </w:rPr>
        <w:t>......................................................                                         .............................................</w:t>
      </w:r>
    </w:p>
    <w:p w:rsidR="0086451C" w:rsidP="0086451C" w:rsidRDefault="0086451C">
      <w:pPr>
        <w:jc w:val="center"/>
        <w:rPr>
          <w:b/>
        </w:rPr>
      </w:pPr>
    </w:p>
    <w:p w:rsidR="0086451C" w:rsidP="0086451C" w:rsidRDefault="0086451C">
      <w:pPr>
        <w:rPr>
          <w:rFonts w:cs="Arial"/>
        </w:rPr>
      </w:pPr>
      <w:r>
        <w:t xml:space="preserve">                        Datum zpracování </w:t>
      </w:r>
      <w:proofErr w:type="gramStart"/>
      <w:r>
        <w:t>nabídky                                                     Razítko</w:t>
      </w:r>
      <w:proofErr w:type="gramEnd"/>
      <w:r>
        <w:t xml:space="preserve"> a podpis</w:t>
      </w:r>
    </w:p>
    <w:p w:rsidR="0086451C" w:rsidP="0086451C" w:rsidRDefault="0086451C">
      <w:pPr>
        <w:tabs>
          <w:tab w:val="left" w:pos="-3060"/>
          <w:tab w:val="left" w:pos="1440"/>
          <w:tab w:val="left" w:pos="2160"/>
          <w:tab w:val="left" w:pos="4320"/>
        </w:tabs>
        <w:spacing w:before="120"/>
        <w:jc w:val="both"/>
      </w:pPr>
    </w:p>
    <w:p w:rsidR="0086451C" w:rsidP="0086451C" w:rsidRDefault="0086451C">
      <w:pPr>
        <w:spacing w:after="200"/>
      </w:pPr>
      <w:r>
        <w:br w:type="page"/>
      </w:r>
    </w:p>
    <w:p w:rsidR="0086451C" w:rsidP="0086451C" w:rsidRDefault="0086451C">
      <w:pPr>
        <w:jc w:val="both"/>
      </w:pPr>
      <w:r>
        <w:lastRenderedPageBreak/>
        <w:t>Příloha č. 2</w:t>
      </w:r>
    </w:p>
    <w:p w:rsidR="0086451C" w:rsidP="0086451C" w:rsidRDefault="0086451C">
      <w:pPr>
        <w:jc w:val="both"/>
      </w:pPr>
    </w:p>
    <w:p w:rsidRPr="00212EFB" w:rsidR="0086451C" w:rsidP="0086451C" w:rsidRDefault="0086451C">
      <w:pPr>
        <w:jc w:val="both"/>
        <w:outlineLvl w:val="0"/>
        <w:rPr>
          <w:b/>
          <w:u w:val="single"/>
        </w:rPr>
      </w:pPr>
      <w:r w:rsidRPr="00212EFB">
        <w:rPr>
          <w:b/>
          <w:u w:val="single"/>
        </w:rPr>
        <w:t>Čestné prohlášení k</w:t>
      </w:r>
      <w:r>
        <w:rPr>
          <w:b/>
          <w:u w:val="single"/>
        </w:rPr>
        <w:t> výzvě č.  3/2015 k zabezpečení rekvalifikace „Bourání masa 29-021-H“</w:t>
      </w:r>
    </w:p>
    <w:p w:rsidRPr="00212EFB" w:rsidR="0086451C" w:rsidP="0086451C" w:rsidRDefault="0086451C">
      <w:pPr>
        <w:jc w:val="both"/>
      </w:pPr>
    </w:p>
    <w:p w:rsidRPr="00212EFB" w:rsidR="0086451C" w:rsidP="0086451C" w:rsidRDefault="0086451C">
      <w:pPr>
        <w:jc w:val="both"/>
      </w:pPr>
    </w:p>
    <w:p w:rsidRPr="00212EFB" w:rsidR="0086451C" w:rsidP="0086451C" w:rsidRDefault="0086451C">
      <w:pPr>
        <w:ind w:left="360"/>
        <w:jc w:val="both"/>
      </w:pPr>
      <w:r w:rsidRPr="00212EFB">
        <w:t xml:space="preserve">Prohlašuji tímto čestně, že jsem dodavatel, </w:t>
      </w:r>
    </w:p>
    <w:p w:rsidR="0086451C" w:rsidP="0086451C" w:rsidRDefault="0086451C">
      <w:pPr>
        <w:numPr>
          <w:ilvl w:val="0"/>
          <w:numId w:val="1"/>
        </w:numPr>
        <w:jc w:val="both"/>
        <w:rPr>
          <w:color w:val="000000"/>
        </w:rPr>
      </w:pPr>
      <w:r>
        <w:rPr>
          <w:color w:val="000000"/>
        </w:rPr>
        <w:t>k</w:t>
      </w:r>
      <w:r w:rsidRPr="00212EFB">
        <w:rPr>
          <w:color w:val="000000"/>
        </w:rPr>
        <w:t>terý</w:t>
      </w:r>
      <w:r>
        <w:rPr>
          <w:color w:val="000000"/>
        </w:rPr>
        <w:t xml:space="preserve"> nebyl pravomocně odsouzen pro trestný čin spáchaný ve prospěch organizované zločinecké skupiny,</w:t>
      </w:r>
    </w:p>
    <w:p w:rsidR="0086451C" w:rsidP="0086451C" w:rsidRDefault="0086451C">
      <w:pPr>
        <w:numPr>
          <w:ilvl w:val="0"/>
          <w:numId w:val="1"/>
        </w:numPr>
        <w:jc w:val="both"/>
        <w:rPr>
          <w:color w:val="000000"/>
        </w:rPr>
      </w:pPr>
      <w:r>
        <w:rPr>
          <w:color w:val="000000"/>
        </w:rPr>
        <w:t>který nebyl pravomocně odsouzen pro trestný čin</w:t>
      </w:r>
      <w:r w:rsidRPr="004143AA">
        <w:rPr>
          <w:color w:val="000000" w:themeColor="text1"/>
        </w:rPr>
        <w:t xml:space="preserve">, </w:t>
      </w:r>
      <w:r>
        <w:rPr>
          <w:color w:val="000000"/>
        </w:rPr>
        <w:t>jehož skutková podstata souvisí s předmětem podnikání,</w:t>
      </w:r>
    </w:p>
    <w:p w:rsidR="0086451C" w:rsidP="0086451C" w:rsidRDefault="0086451C">
      <w:pPr>
        <w:numPr>
          <w:ilvl w:val="0"/>
          <w:numId w:val="1"/>
        </w:numPr>
        <w:jc w:val="both"/>
        <w:rPr>
          <w:color w:val="000000"/>
        </w:rPr>
      </w:pPr>
      <w:r>
        <w:rPr>
          <w:color w:val="000000"/>
        </w:rPr>
        <w:t>který v posledních 3 letech nenaplnil skutkovou podstatu jednání nekalé soutěže formou podplácení,</w:t>
      </w:r>
    </w:p>
    <w:p w:rsidR="0086451C" w:rsidP="0086451C" w:rsidRDefault="0086451C">
      <w:pPr>
        <w:numPr>
          <w:ilvl w:val="0"/>
          <w:numId w:val="1"/>
        </w:numPr>
        <w:jc w:val="both"/>
        <w:rPr>
          <w:color w:val="000000"/>
        </w:rPr>
      </w:pPr>
      <w:r>
        <w:rPr>
          <w:color w:val="000000"/>
        </w:rPr>
        <w:t>vůči jehož majetku neprobíhá nebo v posledních 3 letech neproběhlo insolvenční řízení, v němž bylo vydáno rozhodnutí o úpadku,</w:t>
      </w:r>
    </w:p>
    <w:p w:rsidRPr="00212EFB" w:rsidR="0086451C" w:rsidP="0086451C" w:rsidRDefault="0086451C">
      <w:pPr>
        <w:numPr>
          <w:ilvl w:val="0"/>
          <w:numId w:val="1"/>
        </w:numPr>
        <w:jc w:val="both"/>
        <w:rPr>
          <w:color w:val="000000"/>
        </w:rPr>
      </w:pPr>
      <w:r>
        <w:rPr>
          <w:color w:val="000000"/>
        </w:rPr>
        <w:t xml:space="preserve">který </w:t>
      </w:r>
      <w:r w:rsidRPr="00212EFB">
        <w:rPr>
          <w:color w:val="000000"/>
        </w:rPr>
        <w:t>není v likvidaci,</w:t>
      </w:r>
    </w:p>
    <w:p w:rsidRPr="00212EFB" w:rsidR="0086451C" w:rsidP="0086451C" w:rsidRDefault="0086451C">
      <w:pPr>
        <w:numPr>
          <w:ilvl w:val="0"/>
          <w:numId w:val="1"/>
        </w:numPr>
        <w:jc w:val="both"/>
        <w:rPr>
          <w:color w:val="000000"/>
        </w:rPr>
      </w:pPr>
      <w:r w:rsidRPr="00212EFB">
        <w:rPr>
          <w:color w:val="000000"/>
        </w:rPr>
        <w:t xml:space="preserve">který nemá v evidenci daní zachyceny daňové nedoplatky, a to jak v České republice, tak </w:t>
      </w:r>
      <w:r>
        <w:rPr>
          <w:color w:val="000000"/>
        </w:rPr>
        <w:br/>
      </w:r>
      <w:r w:rsidRPr="00212EFB">
        <w:rPr>
          <w:color w:val="000000"/>
        </w:rPr>
        <w:t>v zemi sídla, místa podnikání či bydliště dodavatele,</w:t>
      </w:r>
    </w:p>
    <w:p w:rsidRPr="00212EFB" w:rsidR="0086451C" w:rsidP="0086451C" w:rsidRDefault="0086451C">
      <w:pPr>
        <w:numPr>
          <w:ilvl w:val="0"/>
          <w:numId w:val="1"/>
        </w:numPr>
        <w:jc w:val="both"/>
        <w:rPr>
          <w:color w:val="000000"/>
        </w:rPr>
      </w:pPr>
      <w:r w:rsidRPr="00212EFB">
        <w:rPr>
          <w:color w:val="000000"/>
        </w:rPr>
        <w:t xml:space="preserve">který nemá nedoplatek na pojistném a na penále na veřejné zdravotní pojištění, a to jak </w:t>
      </w:r>
      <w:r>
        <w:rPr>
          <w:color w:val="000000"/>
        </w:rPr>
        <w:br/>
      </w:r>
      <w:r w:rsidRPr="00212EFB">
        <w:rPr>
          <w:color w:val="000000"/>
        </w:rPr>
        <w:t>v České republice, tak v zemi sídla, místa podnikání či bydliště dodavatele,</w:t>
      </w:r>
    </w:p>
    <w:p w:rsidR="0086451C" w:rsidP="0086451C" w:rsidRDefault="0086451C">
      <w:pPr>
        <w:numPr>
          <w:ilvl w:val="0"/>
          <w:numId w:val="1"/>
        </w:numPr>
        <w:jc w:val="both"/>
        <w:rPr>
          <w:color w:val="000000"/>
        </w:rPr>
      </w:pPr>
      <w:r w:rsidRPr="00212EFB">
        <w:rPr>
          <w:color w:val="000000"/>
        </w:rPr>
        <w:t xml:space="preserve">který nemá nedoplatek na pojistném a na penále na sociální zabezpečení a příspěvku </w:t>
      </w:r>
      <w:r>
        <w:rPr>
          <w:color w:val="000000"/>
        </w:rPr>
        <w:br/>
      </w:r>
      <w:r w:rsidRPr="00212EFB">
        <w:rPr>
          <w:color w:val="000000"/>
        </w:rPr>
        <w:t>na státní politiku zaměstnanosti, a to jak v České republice, tak v zemi sídla, místa podnikání či bydliště dodavatele</w:t>
      </w:r>
      <w:r>
        <w:rPr>
          <w:color w:val="000000"/>
        </w:rPr>
        <w:t>,</w:t>
      </w:r>
    </w:p>
    <w:p w:rsidR="0086451C" w:rsidP="0086451C" w:rsidRDefault="0086451C">
      <w:pPr>
        <w:numPr>
          <w:ilvl w:val="0"/>
          <w:numId w:val="1"/>
        </w:numPr>
        <w:jc w:val="both"/>
        <w:rPr>
          <w:color w:val="000000"/>
        </w:rPr>
      </w:pPr>
      <w:proofErr w:type="gramStart"/>
      <w:r>
        <w:rPr>
          <w:color w:val="000000"/>
        </w:rPr>
        <w:t>který</w:t>
      </w:r>
      <w:proofErr w:type="gramEnd"/>
      <w:r>
        <w:rPr>
          <w:color w:val="000000"/>
        </w:rPr>
        <w:t xml:space="preserve">  nebyl v posledních 3 letech pravomocně potrestán  či mu nebylo pravomocně uloženo kárné opatření podle zvláštních právních </w:t>
      </w:r>
      <w:proofErr w:type="gramStart"/>
      <w:r>
        <w:rPr>
          <w:color w:val="000000"/>
        </w:rPr>
        <w:t>předpisů,</w:t>
      </w:r>
      <w:proofErr w:type="gramEnd"/>
    </w:p>
    <w:p w:rsidRPr="00212EFB" w:rsidR="0086451C" w:rsidP="0086451C" w:rsidRDefault="0086451C">
      <w:pPr>
        <w:numPr>
          <w:ilvl w:val="0"/>
          <w:numId w:val="1"/>
        </w:numPr>
        <w:jc w:val="both"/>
        <w:rPr>
          <w:color w:val="000000"/>
        </w:rPr>
      </w:pPr>
      <w:r>
        <w:rPr>
          <w:color w:val="000000"/>
        </w:rPr>
        <w:t>který není veden v rejstříku osob se zákazem plnění veřejných zakázek a kterému nebyla v posledních 3 letech pravomocně uložena pokuta za umožnění výkonu nelegální práce.</w:t>
      </w:r>
    </w:p>
    <w:p w:rsidRPr="00212EFB" w:rsidR="0086451C" w:rsidP="0086451C" w:rsidRDefault="0086451C">
      <w:pPr>
        <w:jc w:val="both"/>
      </w:pPr>
    </w:p>
    <w:p w:rsidRPr="00212EFB" w:rsidR="0086451C" w:rsidP="0086451C" w:rsidRDefault="0086451C">
      <w:pPr>
        <w:jc w:val="both"/>
      </w:pPr>
    </w:p>
    <w:p w:rsidRPr="00212EFB" w:rsidR="0086451C" w:rsidP="0086451C" w:rsidRDefault="0086451C">
      <w:pPr>
        <w:jc w:val="both"/>
      </w:pPr>
    </w:p>
    <w:p w:rsidRPr="00212EFB" w:rsidR="0086451C" w:rsidP="0086451C" w:rsidRDefault="0086451C">
      <w:pPr>
        <w:jc w:val="both"/>
      </w:pPr>
    </w:p>
    <w:p w:rsidRPr="00212EFB" w:rsidR="0086451C" w:rsidP="0086451C" w:rsidRDefault="0086451C">
      <w:pPr>
        <w:jc w:val="both"/>
        <w:rPr>
          <w:color w:val="FF0000"/>
        </w:rPr>
      </w:pPr>
      <w:r w:rsidRPr="00212EFB">
        <w:t xml:space="preserve">Toto prohlášení podepisuji jako </w:t>
      </w:r>
      <w:r w:rsidRPr="00212EFB">
        <w:tab/>
      </w:r>
      <w:r w:rsidRPr="00212EFB">
        <w:tab/>
        <w:t>(funkce, např.: jednatel společnosti)</w:t>
      </w:r>
    </w:p>
    <w:p w:rsidRPr="00212EFB" w:rsidR="0086451C" w:rsidP="0086451C" w:rsidRDefault="0086451C">
      <w:pPr>
        <w:jc w:val="both"/>
      </w:pPr>
    </w:p>
    <w:p w:rsidRPr="00212EFB" w:rsidR="0086451C" w:rsidP="0086451C" w:rsidRDefault="0086451C">
      <w:pPr>
        <w:jc w:val="both"/>
      </w:pPr>
    </w:p>
    <w:p w:rsidRPr="00212EFB" w:rsidR="0086451C" w:rsidP="0086451C" w:rsidRDefault="0086451C">
      <w:pPr>
        <w:jc w:val="both"/>
      </w:pPr>
    </w:p>
    <w:p w:rsidRPr="00212EFB" w:rsidR="0086451C" w:rsidP="0086451C" w:rsidRDefault="0086451C">
      <w:pPr>
        <w:jc w:val="both"/>
        <w:outlineLvl w:val="0"/>
      </w:pPr>
    </w:p>
    <w:p w:rsidRPr="00212EFB" w:rsidR="0086451C" w:rsidP="0086451C" w:rsidRDefault="0086451C">
      <w:pPr>
        <w:jc w:val="both"/>
        <w:outlineLvl w:val="0"/>
      </w:pPr>
    </w:p>
    <w:p w:rsidRPr="00212EFB" w:rsidR="0086451C" w:rsidP="0086451C" w:rsidRDefault="0086451C">
      <w:pPr>
        <w:jc w:val="both"/>
        <w:outlineLvl w:val="0"/>
      </w:pPr>
      <w:r w:rsidRPr="00212EFB">
        <w:t>V ………………… dne ………………</w:t>
      </w:r>
      <w:r w:rsidRPr="00212EFB">
        <w:tab/>
        <w:t xml:space="preserve">         </w:t>
      </w:r>
      <w:r w:rsidRPr="00212EFB">
        <w:rPr>
          <w:i/>
          <w:iCs/>
        </w:rPr>
        <w:t xml:space="preserve">            </w:t>
      </w:r>
      <w:r w:rsidRPr="00212EFB">
        <w:rPr>
          <w:i/>
          <w:iCs/>
        </w:rPr>
        <w:tab/>
      </w:r>
      <w:r w:rsidRPr="00212EFB">
        <w:rPr>
          <w:i/>
          <w:iCs/>
        </w:rPr>
        <w:tab/>
      </w:r>
      <w:r w:rsidRPr="00212EFB">
        <w:rPr>
          <w:i/>
          <w:iCs/>
        </w:rPr>
        <w:tab/>
      </w:r>
      <w:r w:rsidRPr="00212EFB">
        <w:rPr>
          <w:i/>
          <w:iCs/>
        </w:rPr>
        <w:tab/>
      </w:r>
      <w:r w:rsidRPr="00212EFB">
        <w:rPr>
          <w:i/>
          <w:iCs/>
        </w:rPr>
        <w:tab/>
      </w:r>
      <w:r w:rsidRPr="00212EFB">
        <w:rPr>
          <w:i/>
          <w:iCs/>
        </w:rPr>
        <w:tab/>
      </w:r>
      <w:r w:rsidRPr="00212EFB">
        <w:rPr>
          <w:i/>
          <w:iCs/>
        </w:rPr>
        <w:tab/>
      </w:r>
      <w:r w:rsidRPr="00212EFB">
        <w:rPr>
          <w:i/>
          <w:iCs/>
        </w:rPr>
        <w:tab/>
      </w:r>
      <w:r w:rsidRPr="00212EFB">
        <w:rPr>
          <w:i/>
          <w:iCs/>
        </w:rPr>
        <w:tab/>
      </w:r>
      <w:r w:rsidRPr="00212EFB">
        <w:rPr>
          <w:i/>
          <w:iCs/>
        </w:rPr>
        <w:tab/>
      </w:r>
      <w:r w:rsidRPr="00212EFB">
        <w:rPr>
          <w:i/>
          <w:iCs/>
        </w:rPr>
        <w:tab/>
      </w:r>
      <w:r w:rsidRPr="00212EFB">
        <w:rPr>
          <w:i/>
          <w:iCs/>
        </w:rPr>
        <w:tab/>
      </w:r>
      <w:r w:rsidRPr="00212EFB">
        <w:rPr>
          <w:i/>
          <w:iCs/>
        </w:rPr>
        <w:tab/>
      </w:r>
      <w:r w:rsidRPr="00212EFB">
        <w:rPr>
          <w:i/>
          <w:iCs/>
        </w:rPr>
        <w:tab/>
      </w:r>
      <w:r w:rsidRPr="00212EFB">
        <w:rPr>
          <w:i/>
          <w:iCs/>
        </w:rPr>
        <w:tab/>
      </w:r>
      <w:r w:rsidRPr="00212EFB">
        <w:rPr>
          <w:i/>
          <w:iCs/>
        </w:rPr>
        <w:tab/>
      </w:r>
      <w:r w:rsidRPr="00212EFB">
        <w:rPr>
          <w:i/>
          <w:iCs/>
        </w:rPr>
        <w:tab/>
      </w:r>
      <w:r w:rsidRPr="00212EFB">
        <w:rPr>
          <w:i/>
          <w:iCs/>
        </w:rPr>
        <w:tab/>
      </w:r>
      <w:r w:rsidRPr="00212EFB">
        <w:rPr>
          <w:i/>
          <w:iCs/>
        </w:rPr>
        <w:tab/>
        <w:t xml:space="preserve">                                         </w:t>
      </w:r>
      <w:r w:rsidRPr="00212EFB">
        <w:rPr>
          <w:i/>
          <w:iCs/>
        </w:rPr>
        <w:tab/>
      </w:r>
      <w:r>
        <w:rPr>
          <w:i/>
          <w:iCs/>
        </w:rPr>
        <w:t xml:space="preserve">                                                                           </w:t>
      </w:r>
      <w:r w:rsidRPr="00212EFB">
        <w:rPr>
          <w:i/>
          <w:iCs/>
        </w:rPr>
        <w:t>……………………………………………………….</w:t>
      </w:r>
    </w:p>
    <w:p w:rsidR="0086451C" w:rsidP="0086451C" w:rsidRDefault="0086451C">
      <w:pPr>
        <w:ind w:left="4956" w:firstLine="708"/>
        <w:jc w:val="both"/>
        <w:rPr>
          <w:i/>
          <w:iCs/>
        </w:rPr>
      </w:pPr>
      <w:r w:rsidRPr="00212EFB">
        <w:rPr>
          <w:i/>
          <w:iCs/>
        </w:rPr>
        <w:t>Podpis</w:t>
      </w:r>
    </w:p>
    <w:p w:rsidR="0086451C" w:rsidP="0086451C" w:rsidRDefault="0086451C">
      <w:pPr>
        <w:rPr>
          <w:i/>
          <w:iCs/>
        </w:rPr>
      </w:pPr>
      <w:bookmarkStart w:name="1" w:id="1"/>
      <w:bookmarkEnd w:id="1"/>
    </w:p>
    <w:p w:rsidR="00DD0BD5" w:rsidRDefault="00DD0BD5"/>
    <w:sectPr w:rsidR="00DD0BD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3B1F00" w:rsidRDefault="003B1F00">
      <w:pPr>
        <w:spacing w:line="240" w:lineRule="auto"/>
      </w:pPr>
      <w:r>
        <w:separator/>
      </w:r>
    </w:p>
  </w:endnote>
  <w:endnote w:type="continuationSeparator" w:id="0">
    <w:p w:rsidR="003B1F00" w:rsidRDefault="003B1F00">
      <w:pPr>
        <w:spacing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FC7BC6" w:rsidRDefault="003B1F00">
    <w:pPr>
      <w:pStyle w:val="Zpat"/>
    </w:pPr>
  </w:p>
  <w:p w:rsidR="00543417" w:rsidRDefault="003B1F00">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3B1F00" w:rsidRDefault="003B1F00">
      <w:pPr>
        <w:spacing w:line="240" w:lineRule="auto"/>
      </w:pPr>
      <w:r>
        <w:separator/>
      </w:r>
    </w:p>
  </w:footnote>
  <w:footnote w:type="continuationSeparator" w:id="0">
    <w:p w:rsidR="003B1F00" w:rsidRDefault="003B1F00">
      <w:pPr>
        <w:spacing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02E8C" w:rsidRDefault="0086451C">
    <w:pPr>
      <w:pStyle w:val="Zhlav"/>
    </w:pPr>
    <w:r>
      <w:rPr>
        <w:noProof/>
        <w:lang w:eastAsia="cs-CZ"/>
      </w:rPr>
      <w:drawing>
        <wp:inline distT="0" distB="0" distL="0" distR="0">
          <wp:extent cx="5659200" cy="439200"/>
          <wp:effectExtent l="0" t="0" r="0" b="0"/>
          <wp:docPr id="6" name="Obrázek 6"/>
          <wp:cNvGraphicFramePr>
            <a:graphicFrameLocks noChangeAspect="true"/>
          </wp:cNvGraphicFramePr>
          <a:graphic>
            <a:graphicData uri="http://schemas.openxmlformats.org/drawingml/2006/picture">
              <pic:pic>
                <pic:nvPicPr>
                  <pic:cNvPr id="0" name="LOGO_NIP_CB.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659200" cy="439200"/>
                  </a:xfrm>
                  <a:prstGeom prst="rect">
                    <a:avLst/>
                  </a:prstGeom>
                </pic:spPr>
              </pic:pic>
            </a:graphicData>
          </a:graphic>
        </wp:inline>
      </w:drawing>
    </w:r>
  </w:p>
  <w:p w:rsidR="00FC7BC6" w:rsidRDefault="003B1F00"/>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3D686E42"/>
    <w:multiLevelType w:val="hybridMultilevel"/>
    <w:tmpl w:val="B79ED160"/>
    <w:lvl w:ilvl="0" w:tplc="ABFE9BBA">
      <w:start w:val="6"/>
      <w:numFmt w:val="bullet"/>
      <w:lvlText w:val="-"/>
      <w:lvlJc w:val="left"/>
      <w:pPr>
        <w:ind w:left="786"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6C8336F2"/>
    <w:multiLevelType w:val="hybridMultilevel"/>
    <w:tmpl w:val="369EAC18"/>
    <w:lvl w:ilvl="0" w:tplc="3F2CE520">
      <w:start w:val="1"/>
      <w:numFmt w:val="bullet"/>
      <w:lvlText w:val="-"/>
      <w:lvlJc w:val="left"/>
      <w:pPr>
        <w:tabs>
          <w:tab w:val="num" w:pos="720"/>
        </w:tabs>
        <w:ind w:left="720" w:hanging="360"/>
      </w:pPr>
      <w:rPr>
        <w:rFonts w:hint="default" w:ascii="Verdana" w:hAnsi="Verdana" w:eastAsia="Times New Roman" w:cs="Times New Roman"/>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1C"/>
    <w:rsid w:val="00324E49"/>
    <w:rsid w:val="003B1F00"/>
    <w:rsid w:val="00584FAE"/>
    <w:rsid w:val="006D1422"/>
    <w:rsid w:val="0086451C"/>
    <w:rsid w:val="00AA1687"/>
    <w:rsid w:val="00AF0CCC"/>
    <w:rsid w:val="00D6292D"/>
    <w:rsid w:val="00DD0B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Body Text 3"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0"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86451C"/>
    <w:pPr>
      <w:spacing w:after="0"/>
    </w:pPr>
  </w:style>
  <w:style w:type="paragraph" w:styleId="Nadpis2">
    <w:name w:val="heading 2"/>
    <w:basedOn w:val="Normln"/>
    <w:next w:val="Normln"/>
    <w:link w:val="Nadpis2Char"/>
    <w:qFormat/>
    <w:rsid w:val="0086451C"/>
    <w:pPr>
      <w:keepNext/>
      <w:spacing w:before="240" w:after="60" w:line="240" w:lineRule="auto"/>
      <w:outlineLvl w:val="1"/>
    </w:pPr>
    <w:rPr>
      <w:rFonts w:ascii="Arial" w:hAnsi="Arial" w:eastAsia="Times New Roman" w:cs="Arial"/>
      <w:b/>
      <w:bCs/>
      <w:i/>
      <w:iCs/>
      <w:sz w:val="28"/>
      <w:szCs w:val="28"/>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rsid w:val="0086451C"/>
    <w:rPr>
      <w:rFonts w:ascii="Arial" w:hAnsi="Arial" w:eastAsia="Times New Roman" w:cs="Arial"/>
      <w:b/>
      <w:bCs/>
      <w:i/>
      <w:iCs/>
      <w:sz w:val="28"/>
      <w:szCs w:val="28"/>
      <w:lang w:eastAsia="cs-CZ"/>
    </w:rPr>
  </w:style>
  <w:style w:type="paragraph" w:styleId="Odstavecseseznamem">
    <w:name w:val="List Paragraph"/>
    <w:basedOn w:val="Normln"/>
    <w:qFormat/>
    <w:rsid w:val="0086451C"/>
    <w:pPr>
      <w:spacing w:line="240" w:lineRule="auto"/>
      <w:ind w:left="708"/>
    </w:pPr>
    <w:rPr>
      <w:rFonts w:ascii="Times New Roman" w:hAnsi="Times New Roman" w:eastAsia="Times New Roman" w:cs="Times New Roman"/>
      <w:sz w:val="24"/>
      <w:szCs w:val="24"/>
      <w:lang w:eastAsia="cs-CZ"/>
    </w:rPr>
  </w:style>
  <w:style w:type="paragraph" w:styleId="Zhlav">
    <w:name w:val="header"/>
    <w:basedOn w:val="Normln"/>
    <w:link w:val="ZhlavChar"/>
    <w:uiPriority w:val="99"/>
    <w:unhideWhenUsed/>
    <w:rsid w:val="0086451C"/>
    <w:pPr>
      <w:tabs>
        <w:tab w:val="center" w:pos="4536"/>
        <w:tab w:val="right" w:pos="9072"/>
      </w:tabs>
      <w:spacing w:line="240" w:lineRule="auto"/>
    </w:pPr>
  </w:style>
  <w:style w:type="character" w:styleId="ZhlavChar" w:customStyle="true">
    <w:name w:val="Záhlaví Char"/>
    <w:basedOn w:val="Standardnpsmoodstavce"/>
    <w:link w:val="Zhlav"/>
    <w:uiPriority w:val="99"/>
    <w:rsid w:val="0086451C"/>
  </w:style>
  <w:style w:type="paragraph" w:styleId="Zpat">
    <w:name w:val="footer"/>
    <w:basedOn w:val="Normln"/>
    <w:link w:val="ZpatChar"/>
    <w:uiPriority w:val="99"/>
    <w:unhideWhenUsed/>
    <w:rsid w:val="0086451C"/>
    <w:pPr>
      <w:tabs>
        <w:tab w:val="center" w:pos="4536"/>
        <w:tab w:val="right" w:pos="9072"/>
      </w:tabs>
      <w:spacing w:line="240" w:lineRule="auto"/>
    </w:pPr>
  </w:style>
  <w:style w:type="character" w:styleId="ZpatChar" w:customStyle="true">
    <w:name w:val="Zápatí Char"/>
    <w:basedOn w:val="Standardnpsmoodstavce"/>
    <w:link w:val="Zpat"/>
    <w:uiPriority w:val="99"/>
    <w:rsid w:val="0086451C"/>
  </w:style>
  <w:style w:type="character" w:styleId="Hypertextovodkaz">
    <w:name w:val="Hyperlink"/>
    <w:basedOn w:val="Standardnpsmoodstavce"/>
    <w:uiPriority w:val="99"/>
    <w:unhideWhenUsed/>
    <w:rsid w:val="0086451C"/>
    <w:rPr>
      <w:color w:val="0000FF" w:themeColor="hyperlink"/>
      <w:u w:val="single"/>
    </w:rPr>
  </w:style>
  <w:style w:type="paragraph" w:styleId="Zkladntext3">
    <w:name w:val="Body Text 3"/>
    <w:basedOn w:val="Normln"/>
    <w:link w:val="Zkladntext3Char"/>
    <w:semiHidden/>
    <w:rsid w:val="0086451C"/>
    <w:pPr>
      <w:spacing w:line="240" w:lineRule="auto"/>
      <w:jc w:val="both"/>
    </w:pPr>
    <w:rPr>
      <w:rFonts w:ascii="Arial" w:hAnsi="Arial" w:eastAsia="Times New Roman" w:cs="Arial"/>
      <w:color w:val="FF0000"/>
      <w:sz w:val="20"/>
      <w:szCs w:val="24"/>
      <w:lang w:eastAsia="cs-CZ"/>
    </w:rPr>
  </w:style>
  <w:style w:type="character" w:styleId="Zkladntext3Char" w:customStyle="true">
    <w:name w:val="Základní text 3 Char"/>
    <w:basedOn w:val="Standardnpsmoodstavce"/>
    <w:link w:val="Zkladntext3"/>
    <w:semiHidden/>
    <w:rsid w:val="0086451C"/>
    <w:rPr>
      <w:rFonts w:ascii="Arial" w:hAnsi="Arial" w:eastAsia="Times New Roman" w:cs="Arial"/>
      <w:color w:val="FF0000"/>
      <w:sz w:val="20"/>
      <w:szCs w:val="24"/>
      <w:lang w:eastAsia="cs-CZ"/>
    </w:rPr>
  </w:style>
  <w:style w:type="paragraph" w:styleId="Textbubliny">
    <w:name w:val="Balloon Text"/>
    <w:basedOn w:val="Normln"/>
    <w:link w:val="TextbublinyChar"/>
    <w:uiPriority w:val="99"/>
    <w:semiHidden/>
    <w:unhideWhenUsed/>
    <w:rsid w:val="0086451C"/>
    <w:pPr>
      <w:spacing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86451C"/>
    <w:rPr>
      <w:rFonts w:ascii="Tahoma" w:hAnsi="Tahoma" w:cs="Tahoma"/>
      <w:sz w:val="16"/>
      <w:szCs w:val="16"/>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Body Text 3" w:uiPriority="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86451C"/>
    <w:pPr>
      <w:spacing w:after="0"/>
    </w:pPr>
  </w:style>
  <w:style w:styleId="Nadpis2" w:type="paragraph">
    <w:name w:val="heading 2"/>
    <w:basedOn w:val="Normln"/>
    <w:next w:val="Normln"/>
    <w:link w:val="Nadpis2Char"/>
    <w:qFormat/>
    <w:rsid w:val="0086451C"/>
    <w:pPr>
      <w:keepNext/>
      <w:spacing w:after="60" w:before="240" w:line="240" w:lineRule="auto"/>
      <w:outlineLvl w:val="1"/>
    </w:pPr>
    <w:rPr>
      <w:rFonts w:ascii="Arial" w:cs="Arial" w:eastAsia="Times New Roman" w:hAnsi="Arial"/>
      <w:b/>
      <w:bCs/>
      <w:i/>
      <w:iCs/>
      <w:sz w:val="28"/>
      <w:szCs w:val="28"/>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basedOn w:val="Standardnpsmoodstavce"/>
    <w:link w:val="Nadpis2"/>
    <w:rsid w:val="0086451C"/>
    <w:rPr>
      <w:rFonts w:ascii="Arial" w:cs="Arial" w:eastAsia="Times New Roman" w:hAnsi="Arial"/>
      <w:b/>
      <w:bCs/>
      <w:i/>
      <w:iCs/>
      <w:sz w:val="28"/>
      <w:szCs w:val="28"/>
      <w:lang w:eastAsia="cs-CZ"/>
    </w:rPr>
  </w:style>
  <w:style w:styleId="Odstavecseseznamem" w:type="paragraph">
    <w:name w:val="List Paragraph"/>
    <w:basedOn w:val="Normln"/>
    <w:qFormat/>
    <w:rsid w:val="0086451C"/>
    <w:pPr>
      <w:spacing w:line="240" w:lineRule="auto"/>
      <w:ind w:left="708"/>
    </w:pPr>
    <w:rPr>
      <w:rFonts w:ascii="Times New Roman" w:cs="Times New Roman" w:eastAsia="Times New Roman" w:hAnsi="Times New Roman"/>
      <w:sz w:val="24"/>
      <w:szCs w:val="24"/>
      <w:lang w:eastAsia="cs-CZ"/>
    </w:rPr>
  </w:style>
  <w:style w:styleId="Zhlav" w:type="paragraph">
    <w:name w:val="header"/>
    <w:basedOn w:val="Normln"/>
    <w:link w:val="ZhlavChar"/>
    <w:uiPriority w:val="99"/>
    <w:unhideWhenUsed/>
    <w:rsid w:val="0086451C"/>
    <w:pPr>
      <w:tabs>
        <w:tab w:pos="4536" w:val="center"/>
        <w:tab w:pos="9072" w:val="right"/>
      </w:tabs>
      <w:spacing w:line="240" w:lineRule="auto"/>
    </w:pPr>
  </w:style>
  <w:style w:customStyle="1" w:styleId="ZhlavChar" w:type="character">
    <w:name w:val="Záhlaví Char"/>
    <w:basedOn w:val="Standardnpsmoodstavce"/>
    <w:link w:val="Zhlav"/>
    <w:uiPriority w:val="99"/>
    <w:rsid w:val="0086451C"/>
  </w:style>
  <w:style w:styleId="Zpat" w:type="paragraph">
    <w:name w:val="footer"/>
    <w:basedOn w:val="Normln"/>
    <w:link w:val="ZpatChar"/>
    <w:uiPriority w:val="99"/>
    <w:unhideWhenUsed/>
    <w:rsid w:val="0086451C"/>
    <w:pPr>
      <w:tabs>
        <w:tab w:pos="4536" w:val="center"/>
        <w:tab w:pos="9072" w:val="right"/>
      </w:tabs>
      <w:spacing w:line="240" w:lineRule="auto"/>
    </w:pPr>
  </w:style>
  <w:style w:customStyle="1" w:styleId="ZpatChar" w:type="character">
    <w:name w:val="Zápatí Char"/>
    <w:basedOn w:val="Standardnpsmoodstavce"/>
    <w:link w:val="Zpat"/>
    <w:uiPriority w:val="99"/>
    <w:rsid w:val="0086451C"/>
  </w:style>
  <w:style w:styleId="Hypertextovodkaz" w:type="character">
    <w:name w:val="Hyperlink"/>
    <w:basedOn w:val="Standardnpsmoodstavce"/>
    <w:uiPriority w:val="99"/>
    <w:unhideWhenUsed/>
    <w:rsid w:val="0086451C"/>
    <w:rPr>
      <w:color w:themeColor="hyperlink" w:val="0000FF"/>
      <w:u w:val="single"/>
    </w:rPr>
  </w:style>
  <w:style w:styleId="Zkladntext3" w:type="paragraph">
    <w:name w:val="Body Text 3"/>
    <w:basedOn w:val="Normln"/>
    <w:link w:val="Zkladntext3Char"/>
    <w:semiHidden/>
    <w:rsid w:val="0086451C"/>
    <w:pPr>
      <w:spacing w:line="240" w:lineRule="auto"/>
      <w:jc w:val="both"/>
    </w:pPr>
    <w:rPr>
      <w:rFonts w:ascii="Arial" w:cs="Arial" w:eastAsia="Times New Roman" w:hAnsi="Arial"/>
      <w:color w:val="FF0000"/>
      <w:sz w:val="20"/>
      <w:szCs w:val="24"/>
      <w:lang w:eastAsia="cs-CZ"/>
    </w:rPr>
  </w:style>
  <w:style w:customStyle="1" w:styleId="Zkladntext3Char" w:type="character">
    <w:name w:val="Základní text 3 Char"/>
    <w:basedOn w:val="Standardnpsmoodstavce"/>
    <w:link w:val="Zkladntext3"/>
    <w:semiHidden/>
    <w:rsid w:val="0086451C"/>
    <w:rPr>
      <w:rFonts w:ascii="Arial" w:cs="Arial" w:eastAsia="Times New Roman" w:hAnsi="Arial"/>
      <w:color w:val="FF0000"/>
      <w:sz w:val="20"/>
      <w:szCs w:val="24"/>
      <w:lang w:eastAsia="cs-CZ"/>
    </w:rPr>
  </w:style>
  <w:style w:styleId="Textbubliny" w:type="paragraph">
    <w:name w:val="Balloon Text"/>
    <w:basedOn w:val="Normln"/>
    <w:link w:val="TextbublinyChar"/>
    <w:uiPriority w:val="99"/>
    <w:semiHidden/>
    <w:unhideWhenUsed/>
    <w:rsid w:val="0086451C"/>
    <w:pPr>
      <w:spacing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86451C"/>
    <w:rPr>
      <w:rFonts w:ascii="Tahoma" w:cs="Tahoma" w:hAnsi="Tahoma"/>
      <w:sz w:val="16"/>
      <w:szCs w:val="1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www.esfcr.cz/file/7995/" Type="http://schemas.openxmlformats.org/officeDocument/2006/relationships/hyperlink" Id="rId13"/>
    <Relationship Target="theme/theme1.xml" Type="http://schemas.openxmlformats.org/officeDocument/2006/relationships/theme" Id="rId18"/>
    <Relationship Target="styles.xml" Type="http://schemas.openxmlformats.org/officeDocument/2006/relationships/styles" Id="rId3"/>
    <Relationship Target="footnotes.xml" Type="http://schemas.openxmlformats.org/officeDocument/2006/relationships/footnotes" Id="rId7"/>
    <Relationship TargetMode="External" Target="http://portal.mpsv.cz/upcr/kp/olk/poradenstvi" Type="http://schemas.openxmlformats.org/officeDocument/2006/relationships/hyperlink" Id="rId12"/>
    <Relationship Target="fontTable.xml" Type="http://schemas.openxmlformats.org/officeDocument/2006/relationships/fontTable" Id="rId17"/>
    <Relationship Target="numbering.xml" Type="http://schemas.openxmlformats.org/officeDocument/2006/relationships/numbering" Id="rId2"/>
    <Relationship Target="footer1.xml" Type="http://schemas.openxmlformats.org/officeDocument/2006/relationships/footer" Id="rId16"/>
    <Relationship Target="../customXml/item1.xml" Type="http://schemas.openxmlformats.org/officeDocument/2006/relationships/customXml" Id="rId1"/>
    <Relationship Target="webSettings.xml" Type="http://schemas.openxmlformats.org/officeDocument/2006/relationships/webSettings" Id="rId6"/>
    <Relationship TargetMode="External" Target="mailto:jana.litvikova@ol.mpsv.cz" Type="http://schemas.openxmlformats.org/officeDocument/2006/relationships/hyperlink" Id="rId11"/>
    <Relationship Target="settings.xml" Type="http://schemas.openxmlformats.org/officeDocument/2006/relationships/settings" Id="rId5"/>
    <Relationship Target="header1.xml" Type="http://schemas.openxmlformats.org/officeDocument/2006/relationships/header" Id="rId15"/>
    <Relationship TargetMode="External" Target="mailto:jana.cuhlova@ol.mpsv.cz" Type="http://schemas.openxmlformats.org/officeDocument/2006/relationships/hyperlink" Id="rId10"/>
    <Relationship Target="stylesWithEffects.xml" Type="http://schemas.microsoft.com/office/2007/relationships/stylesWithEffects" Id="rId4"/>
    <Relationship TargetMode="External" Target="mailto:marta.krskova@ol.mpsv.cz" Type="http://schemas.openxmlformats.org/officeDocument/2006/relationships/hyperlink" Id="rId9"/>
    <Relationship TargetMode="External" Target="http://portal.mpsv.cz/upcr/kp/olk/poradenstvi" Type="http://schemas.openxmlformats.org/officeDocument/2006/relationships/hyperlink"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D3DCF48-EDD1-44EB-BAD7-2476915E53B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properties:Pages>
  <properties:Words>2532</properties:Words>
  <properties:Characters>14944</properties:Characters>
  <properties:Lines>124</properties:Lines>
  <properties:Paragraphs>34</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17442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2015-04-14T10:04:00Z</dcterms:created>
  <dc:creator/>
  <cp:lastModifiedBy/>
  <cp:lastPrinted>2015-04-14T11:24:00Z</cp:lastPrinted>
  <dcterms:modified xmlns:xsi="http://www.w3.org/2001/XMLSchema-instance" xsi:type="dcterms:W3CDTF">2015-04-14T11:27:00Z</dcterms:modified>
  <cp:revision>4</cp:revision>
</cp:coreProperties>
</file>