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43866" w:rsidR="009C64AE" w:rsidP="009C64AE" w:rsidRDefault="009C64AE">
      <w:pPr>
        <w:jc w:val="center"/>
        <w:rPr>
          <w:b/>
          <w:sz w:val="44"/>
          <w:szCs w:val="44"/>
        </w:rPr>
      </w:pPr>
      <w:r w:rsidRPr="00343866">
        <w:rPr>
          <w:b/>
          <w:sz w:val="44"/>
          <w:szCs w:val="44"/>
        </w:rPr>
        <w:t>Zadávací dokumentace</w:t>
      </w:r>
    </w:p>
    <w:p w:rsidR="009C64AE" w:rsidP="009C64AE" w:rsidRDefault="009C64AE"/>
    <w:p w:rsidR="009C64AE" w:rsidP="009C64AE" w:rsidRDefault="008168D8">
      <w:pPr>
        <w:jc w:val="center"/>
      </w:pPr>
      <w:r>
        <w:t xml:space="preserve">K veřejné zakázce </w:t>
      </w:r>
      <w:r w:rsidR="009C64AE">
        <w:t xml:space="preserve">na služby zadávané jako zakázka malého rozsahu, dle Metodického pokynu pro zadávání zakázek v OP LZZ ve verzi </w:t>
      </w:r>
      <w:r w:rsidR="00687324">
        <w:t>2.0</w:t>
      </w:r>
      <w:r w:rsidR="00766349">
        <w:t xml:space="preserve"> ze dne 2. 3. 2015</w:t>
      </w:r>
      <w:r w:rsidR="009C64AE">
        <w:t>, na zadávací řízení se neaplikují ustanovení zákona č. 137/2006 Sb., o veřejných zakázkách.</w:t>
      </w:r>
    </w:p>
    <w:p w:rsidR="009C64AE" w:rsidP="009C64AE" w:rsidRDefault="009C64AE"/>
    <w:p w:rsidRPr="00343866" w:rsidR="009C64AE" w:rsidP="009C64AE" w:rsidRDefault="009C64AE">
      <w:pPr>
        <w:jc w:val="center"/>
        <w:rPr>
          <w:b/>
          <w:sz w:val="40"/>
          <w:szCs w:val="40"/>
        </w:rPr>
      </w:pPr>
      <w:r w:rsidRPr="00343866">
        <w:rPr>
          <w:b/>
          <w:sz w:val="40"/>
          <w:szCs w:val="40"/>
        </w:rPr>
        <w:t>„</w:t>
      </w:r>
      <w:r w:rsidR="008168D8">
        <w:rPr>
          <w:b/>
          <w:sz w:val="40"/>
          <w:szCs w:val="40"/>
        </w:rPr>
        <w:t>Pokročilé programování MS SQL Server 2014</w:t>
      </w:r>
      <w:r w:rsidRPr="00343866">
        <w:rPr>
          <w:b/>
          <w:sz w:val="40"/>
          <w:szCs w:val="40"/>
        </w:rPr>
        <w:t>„</w:t>
      </w:r>
    </w:p>
    <w:p w:rsidR="009C64AE" w:rsidP="009C64AE" w:rsidRDefault="009C64AE">
      <w:pPr>
        <w:jc w:val="center"/>
      </w:pPr>
    </w:p>
    <w:p w:rsidR="009C64AE" w:rsidP="009C64AE" w:rsidRDefault="009C64AE">
      <w:pPr>
        <w:jc w:val="center"/>
      </w:pPr>
      <w:r>
        <w:t>Veřejná zakázka je zadávána v rámci projektu</w:t>
      </w:r>
    </w:p>
    <w:p w:rsidR="00C40E88" w:rsidP="009C64AE" w:rsidRDefault="0091527B">
      <w:pPr>
        <w:jc w:val="center"/>
      </w:pPr>
      <w:r>
        <w:t>Podpora o</w:t>
      </w:r>
      <w:r w:rsidR="00C164DF">
        <w:t>dborné</w:t>
      </w:r>
      <w:r w:rsidR="008168D8">
        <w:t>ho</w:t>
      </w:r>
      <w:r w:rsidR="00C164DF">
        <w:t xml:space="preserve"> vzdělávání zaměstnanců</w:t>
      </w:r>
    </w:p>
    <w:p w:rsidR="009C64AE" w:rsidP="009C64AE" w:rsidRDefault="009C64AE">
      <w:pPr>
        <w:jc w:val="center"/>
      </w:pPr>
      <w:r>
        <w:t>re</w:t>
      </w:r>
      <w:r w:rsidR="00844717">
        <w:t>gistrační číslo CZ.1.04/1.1.00/C3</w:t>
      </w:r>
      <w:r>
        <w:t>.00001</w:t>
      </w:r>
    </w:p>
    <w:p w:rsidR="009C64AE" w:rsidP="009C64AE" w:rsidRDefault="008168D8">
      <w:pPr>
        <w:jc w:val="center"/>
      </w:pPr>
      <w:r>
        <w:t>s</w:t>
      </w:r>
      <w:r w:rsidR="009C64AE">
        <w:t>polufinancovaného z operačního programu Lidské zdroje a zaměstnanost (dále jen OP LZZ)</w:t>
      </w:r>
    </w:p>
    <w:p w:rsidR="009C64AE" w:rsidP="009C64AE" w:rsidRDefault="009C64AE">
      <w:pPr>
        <w:jc w:val="center"/>
      </w:pPr>
    </w:p>
    <w:p w:rsidR="009C64AE" w:rsidP="009C64AE" w:rsidRDefault="009C64AE">
      <w:pPr>
        <w:jc w:val="center"/>
      </w:pPr>
    </w:p>
    <w:p w:rsidRPr="00705986" w:rsidR="009C64AE" w:rsidP="009C64AE" w:rsidRDefault="009C64AE">
      <w:pPr>
        <w:rPr>
          <w:b/>
          <w:sz w:val="28"/>
          <w:szCs w:val="28"/>
          <w:u w:val="single"/>
        </w:rPr>
      </w:pPr>
      <w:r w:rsidRPr="00705986">
        <w:rPr>
          <w:b/>
          <w:sz w:val="28"/>
          <w:szCs w:val="28"/>
          <w:u w:val="single"/>
        </w:rPr>
        <w:t>Zadavatel:</w:t>
      </w:r>
    </w:p>
    <w:p w:rsidRPr="00705986" w:rsidR="009C64AE" w:rsidP="009C64AE" w:rsidRDefault="008168D8">
      <w:pPr>
        <w:spacing w:after="0"/>
        <w:rPr>
          <w:b/>
        </w:rPr>
      </w:pPr>
      <w:r>
        <w:rPr>
          <w:b/>
        </w:rPr>
        <w:t>AMBICA s.r.o.</w:t>
      </w:r>
    </w:p>
    <w:p w:rsidRPr="00705986" w:rsidR="009C64AE" w:rsidP="009C64AE" w:rsidRDefault="008168D8">
      <w:pPr>
        <w:spacing w:after="0"/>
        <w:rPr>
          <w:b/>
        </w:rPr>
      </w:pPr>
      <w:r>
        <w:rPr>
          <w:b/>
        </w:rPr>
        <w:t>Pražská 104, 377 01 Jindřichův Hradec</w:t>
      </w:r>
      <w:r w:rsidR="007B2331">
        <w:rPr>
          <w:b/>
        </w:rPr>
        <w:t xml:space="preserve">, IČ: </w:t>
      </w:r>
      <w:r>
        <w:rPr>
          <w:b/>
        </w:rPr>
        <w:t>26083728</w:t>
      </w:r>
    </w:p>
    <w:p w:rsidR="009C64AE" w:rsidP="009C64AE" w:rsidRDefault="008168D8">
      <w:r>
        <w:t>Osoba</w:t>
      </w:r>
      <w:r w:rsidR="009C64AE">
        <w:t xml:space="preserve"> oprávněn</w:t>
      </w:r>
      <w:r>
        <w:t>á</w:t>
      </w:r>
      <w:r w:rsidR="009C64AE">
        <w:t xml:space="preserve"> jednat za zadavatele</w:t>
      </w:r>
      <w:r>
        <w:t>: RNDr. Jan Novotný – jednatel společnosti</w:t>
      </w:r>
    </w:p>
    <w:p w:rsidR="009C64AE" w:rsidP="009C64AE" w:rsidRDefault="009C64AE"/>
    <w:p w:rsidR="009C64AE" w:rsidP="009C64AE" w:rsidRDefault="009C64AE">
      <w:pPr>
        <w:rPr>
          <w:highlight w:val="yellow"/>
        </w:rPr>
      </w:pPr>
      <w:r>
        <w:rPr>
          <w:highlight w:val="yellow"/>
        </w:rPr>
        <w:br w:type="page"/>
      </w:r>
    </w:p>
    <w:p w:rsidR="009C64AE" w:rsidP="009C64AE" w:rsidRDefault="009C64AE"/>
    <w:bookmarkStart w:name="_Toc420585435" w:displacedByCustomXml="next" w:id="0"/>
    <w:sdt>
      <w:sdtPr>
        <w:rPr>
          <w:rFonts w:asciiTheme="minorHAnsi" w:hAnsiTheme="minorHAnsi" w:eastAsiaTheme="minorHAnsi" w:cstheme="minorBidi"/>
          <w:b w:val="false"/>
          <w:bCs w:val="false"/>
          <w:color w:val="auto"/>
          <w:sz w:val="22"/>
          <w:szCs w:val="22"/>
        </w:rPr>
        <w:id w:val="1559441584"/>
        <w:docPartObj>
          <w:docPartGallery w:val="Table of Contents"/>
          <w:docPartUnique/>
        </w:docPartObj>
      </w:sdtPr>
      <w:sdtEndPr/>
      <w:sdtContent>
        <w:p w:rsidR="009C64AE" w:rsidP="009C64AE" w:rsidRDefault="009C64AE">
          <w:pPr>
            <w:pStyle w:val="Nadpis1"/>
          </w:pPr>
          <w:r>
            <w:t>Obsah</w:t>
          </w:r>
          <w:bookmarkEnd w:id="0"/>
        </w:p>
        <w:p w:rsidR="00DB1177" w:rsidRDefault="009C64A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Toc420585435">
            <w:r w:rsidRPr="00E3169D" w:rsidR="00DB1177">
              <w:rPr>
                <w:rStyle w:val="Hypertextovodkaz"/>
                <w:noProof/>
              </w:rPr>
              <w:t>1.</w:t>
            </w:r>
            <w:r w:rsidR="00DB1177">
              <w:rPr>
                <w:rFonts w:eastAsiaTheme="minorEastAsia"/>
                <w:noProof/>
                <w:lang w:eastAsia="cs-CZ"/>
              </w:rPr>
              <w:tab/>
            </w:r>
            <w:r w:rsidRPr="00E3169D" w:rsidR="00DB1177">
              <w:rPr>
                <w:rStyle w:val="Hypertextovodkaz"/>
                <w:noProof/>
              </w:rPr>
              <w:t>Obsah</w:t>
            </w:r>
            <w:r w:rsidR="00DB1177">
              <w:rPr>
                <w:noProof/>
                <w:webHidden/>
              </w:rPr>
              <w:tab/>
            </w:r>
            <w:r w:rsidR="00DB1177">
              <w:rPr>
                <w:noProof/>
                <w:webHidden/>
              </w:rPr>
              <w:fldChar w:fldCharType="begin"/>
            </w:r>
            <w:r w:rsidR="00DB1177">
              <w:rPr>
                <w:noProof/>
                <w:webHidden/>
              </w:rPr>
              <w:instrText xml:space="preserve"> PAGEREF _Toc420585435 \h </w:instrText>
            </w:r>
            <w:r w:rsidR="00DB1177">
              <w:rPr>
                <w:noProof/>
                <w:webHidden/>
              </w:rPr>
            </w:r>
            <w:r w:rsidR="00DB1177">
              <w:rPr>
                <w:noProof/>
                <w:webHidden/>
              </w:rPr>
              <w:fldChar w:fldCharType="separate"/>
            </w:r>
            <w:r w:rsidR="00DB1177">
              <w:rPr>
                <w:noProof/>
                <w:webHidden/>
              </w:rPr>
              <w:t>2</w:t>
            </w:r>
            <w:r w:rsidR="00DB1177"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36">
            <w:r w:rsidRPr="00E3169D">
              <w:rPr>
                <w:rStyle w:val="Hypertextovodkaz"/>
                <w:noProof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Identifikační údaje zadavatele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37">
            <w:r w:rsidRPr="00E3169D">
              <w:rPr>
                <w:rStyle w:val="Hypertextovodkaz"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Vymezení veřejné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38">
            <w:r w:rsidRPr="00E3169D">
              <w:rPr>
                <w:rStyle w:val="Hypertextovodkaz"/>
                <w:noProof/>
              </w:rPr>
              <w:t>2.1.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Předmět veřejné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39">
            <w:r w:rsidRPr="00E3169D">
              <w:rPr>
                <w:rStyle w:val="Hypertextovodkaz"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Kvalifikační požadavky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40">
            <w:r w:rsidRPr="00E3169D">
              <w:rPr>
                <w:rStyle w:val="Hypertextovodkaz"/>
                <w:noProof/>
              </w:rPr>
              <w:t>3.1.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Požadavky na prokázání kvalifikace dodavatele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41">
            <w:r w:rsidRPr="00E3169D">
              <w:rPr>
                <w:rStyle w:val="Hypertextovodkaz"/>
                <w:noProof/>
              </w:rPr>
              <w:t>3.2.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Změna kvalifikačních předpokladů v průběhu zadávacího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42">
            <w:r w:rsidRPr="00E3169D">
              <w:rPr>
                <w:rStyle w:val="Hypertextovodkaz"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Postup při hodnocení kvalifikace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43">
            <w:r w:rsidRPr="00E3169D">
              <w:rPr>
                <w:rStyle w:val="Hypertextovodkaz"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Podmínky a požadavky zadavatele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44">
            <w:r w:rsidRPr="00E3169D">
              <w:rPr>
                <w:rStyle w:val="Hypertextovodkaz"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Požadavky na sestavení nabídky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45">
            <w:r w:rsidRPr="00E3169D">
              <w:rPr>
                <w:rStyle w:val="Hypertextovodkaz"/>
                <w:noProof/>
              </w:rPr>
              <w:t>6.1.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Obecné požadavky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46">
            <w:r w:rsidRPr="00E3169D">
              <w:rPr>
                <w:rStyle w:val="Hypertextovodkaz"/>
                <w:noProof/>
              </w:rPr>
              <w:t>6.2.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Vlastní sestavení nabídky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47">
            <w:r w:rsidRPr="00E3169D">
              <w:rPr>
                <w:rStyle w:val="Hypertextovodkaz"/>
                <w:noProof/>
              </w:rPr>
              <w:t>6.3.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Způsob zpracování nabídkové 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48">
            <w:r w:rsidRPr="00E3169D">
              <w:rPr>
                <w:rStyle w:val="Hypertextovodkaz"/>
                <w:noProof/>
              </w:rPr>
              <w:t>6.4.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Ostatní požadavky na realizaci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49">
            <w:r w:rsidRPr="00E3169D">
              <w:rPr>
                <w:rStyle w:val="Hypertextovodkaz"/>
                <w:noProof/>
              </w:rPr>
              <w:t>7.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Posouzení a hodnocení nabídek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50">
            <w:r w:rsidRPr="00E3169D">
              <w:rPr>
                <w:rStyle w:val="Hypertextovodkaz"/>
                <w:noProof/>
              </w:rPr>
              <w:t>7.1.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Hodnotící kritéria a způsob hodnocení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51">
            <w:r w:rsidRPr="00E3169D">
              <w:rPr>
                <w:rStyle w:val="Hypertextovodkaz"/>
                <w:noProof/>
              </w:rPr>
              <w:t>Stanovená hodnotící kritéria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52">
            <w:r w:rsidRPr="00E3169D">
              <w:rPr>
                <w:rStyle w:val="Hypertextovodkaz"/>
                <w:noProof/>
              </w:rPr>
              <w:t>Metodika hodnocení nabídek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53">
            <w:r w:rsidRPr="00E3169D">
              <w:rPr>
                <w:rStyle w:val="Hypertextovodkaz"/>
                <w:noProof/>
              </w:rPr>
              <w:t>Detailní způsob hodnocení dílčích kritérií: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54">
            <w:r w:rsidRPr="00E3169D">
              <w:rPr>
                <w:rStyle w:val="Hypertextovodkaz"/>
                <w:noProof/>
              </w:rPr>
              <w:t>8.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Podání nabídek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55">
            <w:r w:rsidRPr="00E3169D">
              <w:rPr>
                <w:rStyle w:val="Hypertextovodkaz"/>
                <w:noProof/>
              </w:rPr>
              <w:t>8.1.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Lhůta pro podání nabídek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56">
            <w:r w:rsidRPr="00E3169D">
              <w:rPr>
                <w:rStyle w:val="Hypertextovodkaz"/>
                <w:noProof/>
              </w:rPr>
              <w:t>8.2.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Místo pro podání nabídek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57">
            <w:r w:rsidRPr="00E3169D">
              <w:rPr>
                <w:rStyle w:val="Hypertextovodkaz"/>
                <w:noProof/>
              </w:rPr>
              <w:t>8.3.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Změny a odvolání nabídky, zadávací lhůta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58">
            <w:r w:rsidRPr="00E3169D">
              <w:rPr>
                <w:rStyle w:val="Hypertextovodkaz"/>
                <w:noProof/>
              </w:rPr>
              <w:t>9.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Práva zadavatele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59">
            <w:r w:rsidRPr="00E3169D">
              <w:rPr>
                <w:rStyle w:val="Hypertextovodkaz"/>
                <w:noProof/>
              </w:rPr>
              <w:t>10.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Ochrana důvěrných informací uchazečů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1177" w:rsidRDefault="00DB1177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85460">
            <w:r w:rsidRPr="00E3169D">
              <w:rPr>
                <w:rStyle w:val="Hypertextovodkaz"/>
                <w:noProof/>
              </w:rPr>
              <w:t>11.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3169D">
              <w:rPr>
                <w:rStyle w:val="Hypertextovodkaz"/>
                <w:noProof/>
              </w:rPr>
              <w:t>Výsledek zadávacího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_Toc420585460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4AE" w:rsidP="009C64AE" w:rsidRDefault="009C64AE">
          <w:r>
            <w:rPr>
              <w:b/>
              <w:bCs/>
            </w:rPr>
            <w:fldChar w:fldCharType="end"/>
          </w:r>
        </w:p>
      </w:sdtContent>
    </w:sdt>
    <w:p w:rsidRPr="00705986" w:rsidR="009C64AE" w:rsidP="009C64AE" w:rsidRDefault="009C64AE"/>
    <w:p w:rsidR="009C64AE" w:rsidP="009C64AE" w:rsidRDefault="009C64AE">
      <w:pPr>
        <w:pStyle w:val="Nadpis1"/>
      </w:pPr>
      <w:r>
        <w:br w:type="page"/>
      </w:r>
    </w:p>
    <w:p w:rsidR="009C64AE" w:rsidP="009C64AE" w:rsidRDefault="009C64AE"/>
    <w:p w:rsidR="009C64AE" w:rsidP="009C64AE" w:rsidRDefault="009C64AE">
      <w:pPr>
        <w:pStyle w:val="Nadpis1"/>
        <w:numPr>
          <w:ilvl w:val="0"/>
          <w:numId w:val="2"/>
        </w:numPr>
      </w:pPr>
      <w:bookmarkStart w:name="_Toc420585436" w:id="1"/>
      <w:r>
        <w:t>Identifikační údaje zadavatele</w:t>
      </w:r>
      <w:bookmarkEnd w:id="1"/>
    </w:p>
    <w:p w:rsidR="009C64AE" w:rsidP="009C64AE" w:rsidRDefault="009C64AE">
      <w:pPr>
        <w:spacing w:after="0"/>
      </w:pPr>
    </w:p>
    <w:p w:rsidR="009C64AE" w:rsidP="009C64AE" w:rsidRDefault="009C64AE">
      <w:pPr>
        <w:spacing w:after="0"/>
      </w:pPr>
      <w:r>
        <w:t>Název:</w:t>
      </w:r>
      <w:r>
        <w:tab/>
      </w:r>
      <w:r>
        <w:tab/>
      </w:r>
      <w:r w:rsidR="008168D8">
        <w:t>AMBICA s.r.o.</w:t>
      </w:r>
    </w:p>
    <w:p w:rsidR="009C64AE" w:rsidP="009C64AE" w:rsidRDefault="009C64AE">
      <w:pPr>
        <w:spacing w:after="0"/>
      </w:pPr>
      <w:r>
        <w:t xml:space="preserve">Sídlo: </w:t>
      </w:r>
      <w:r>
        <w:tab/>
      </w:r>
      <w:r>
        <w:tab/>
      </w:r>
      <w:r w:rsidR="008168D8">
        <w:t>Pražská 104</w:t>
      </w:r>
      <w:r>
        <w:t>, 3</w:t>
      </w:r>
      <w:r w:rsidR="008168D8">
        <w:t>77 01 Jindřichův Hradec</w:t>
      </w:r>
    </w:p>
    <w:p w:rsidR="009C64AE" w:rsidP="009C64AE" w:rsidRDefault="00C40E88">
      <w:pPr>
        <w:spacing w:after="0"/>
      </w:pPr>
      <w:r>
        <w:t xml:space="preserve">IČ: </w:t>
      </w:r>
      <w:r>
        <w:tab/>
      </w:r>
      <w:r>
        <w:tab/>
      </w:r>
      <w:r w:rsidR="008168D8">
        <w:t>26083728</w:t>
      </w:r>
    </w:p>
    <w:p w:rsidR="009C64AE" w:rsidP="009C64AE" w:rsidRDefault="00DB60B5">
      <w:r>
        <w:t xml:space="preserve">Zastoupený: </w:t>
      </w:r>
      <w:r>
        <w:tab/>
      </w:r>
      <w:r w:rsidR="008168D8">
        <w:t>RNDr. Jan Novotný</w:t>
      </w:r>
      <w:r w:rsidR="009C64AE">
        <w:t>, jednatel</w:t>
      </w:r>
    </w:p>
    <w:p w:rsidR="009C64AE" w:rsidP="009C64AE" w:rsidRDefault="009C64AE">
      <w:pPr>
        <w:rPr>
          <w:b/>
        </w:rPr>
      </w:pPr>
    </w:p>
    <w:p w:rsidRPr="00206211" w:rsidR="009C64AE" w:rsidP="009C64AE" w:rsidRDefault="009C64AE">
      <w:pPr>
        <w:spacing w:after="0"/>
        <w:rPr>
          <w:b/>
        </w:rPr>
      </w:pPr>
      <w:r>
        <w:rPr>
          <w:b/>
        </w:rPr>
        <w:t>Kontaktní osoba</w:t>
      </w:r>
      <w:r w:rsidRPr="00206211">
        <w:rPr>
          <w:b/>
        </w:rPr>
        <w:t xml:space="preserve"> zadavatele ve věci zakázky:</w:t>
      </w:r>
    </w:p>
    <w:p w:rsidR="009C64AE" w:rsidP="009C64AE" w:rsidRDefault="00F96543">
      <w:r>
        <w:t>Mgr. Libor Bláha</w:t>
      </w:r>
      <w:r w:rsidR="009C64AE">
        <w:t xml:space="preserve">, tel. </w:t>
      </w:r>
      <w:r>
        <w:t>725 064 571</w:t>
      </w:r>
      <w:r w:rsidRPr="007B2331" w:rsidR="009C64AE">
        <w:t>, e-mail:</w:t>
      </w:r>
      <w:r w:rsidR="007B2331">
        <w:t xml:space="preserve"> </w:t>
      </w:r>
      <w:r>
        <w:t>libor.blaha</w:t>
      </w:r>
      <w:r w:rsidR="007B2331">
        <w:t>@</w:t>
      </w:r>
      <w:r>
        <w:t>ambica</w:t>
      </w:r>
      <w:r w:rsidR="007B2331">
        <w:t>.cz</w:t>
      </w:r>
    </w:p>
    <w:p w:rsidR="009C64AE" w:rsidP="009C64AE" w:rsidRDefault="009C64AE">
      <w:pPr>
        <w:pStyle w:val="Nadpis1"/>
        <w:numPr>
          <w:ilvl w:val="0"/>
          <w:numId w:val="2"/>
        </w:numPr>
      </w:pPr>
      <w:bookmarkStart w:name="_Toc420585437" w:id="2"/>
      <w:r w:rsidRPr="002D2D37">
        <w:t>Vymezení</w:t>
      </w:r>
      <w:r>
        <w:t xml:space="preserve"> veřejné zakázky</w:t>
      </w:r>
      <w:bookmarkEnd w:id="2"/>
    </w:p>
    <w:p w:rsidR="009C64AE" w:rsidP="009C64AE" w:rsidRDefault="009C64AE">
      <w:pPr>
        <w:pStyle w:val="Nadpis2"/>
      </w:pPr>
      <w:bookmarkStart w:name="_Toc420585438" w:id="3"/>
      <w:r>
        <w:t>Předmět veřejné zakázky</w:t>
      </w:r>
      <w:bookmarkEnd w:id="3"/>
    </w:p>
    <w:p w:rsidR="009C64AE" w:rsidP="00DD7D64" w:rsidRDefault="009C64AE">
      <w:pPr>
        <w:jc w:val="both"/>
      </w:pPr>
      <w:r>
        <w:t xml:space="preserve">Předmětem plnění veřejné zakázky je nákup služeb u dodavatele vzdělávacích aktivit v oblasti působení poptávaného předmětu zakázky za účelem </w:t>
      </w:r>
      <w:r w:rsidR="007B2331">
        <w:t xml:space="preserve">prohlubování </w:t>
      </w:r>
      <w:r w:rsidR="00A010AB">
        <w:t xml:space="preserve">odborných </w:t>
      </w:r>
      <w:r>
        <w:t xml:space="preserve">znalostí a dovedností vybrané skupiny zaměstnanců společnosti </w:t>
      </w:r>
      <w:r w:rsidR="00DD7D64">
        <w:t>AMBICA</w:t>
      </w:r>
      <w:r>
        <w:t xml:space="preserve"> s.r.o.</w:t>
      </w:r>
    </w:p>
    <w:p w:rsidRPr="00DD7D64" w:rsidR="009C64AE" w:rsidP="00DD7D64" w:rsidRDefault="009C64AE">
      <w:pPr>
        <w:jc w:val="both"/>
        <w:rPr>
          <w:b/>
        </w:rPr>
      </w:pPr>
      <w:r>
        <w:t>Předmětem zakázky je zajištění vzdělávací aktivity Odborná</w:t>
      </w:r>
      <w:r w:rsidRPr="00DD7D64" w:rsidR="00DD7D64">
        <w:rPr>
          <w:rFonts w:ascii="Arial" w:hAnsi="Arial" w:cs="Arial"/>
          <w:b/>
        </w:rPr>
        <w:t xml:space="preserve"> </w:t>
      </w:r>
      <w:r w:rsidRPr="00DD7D64" w:rsidR="00DD7D64">
        <w:rPr>
          <w:b/>
        </w:rPr>
        <w:t>„Pokročilé programování MS SQL Serveru 2014“</w:t>
      </w:r>
    </w:p>
    <w:p w:rsidR="009C64AE" w:rsidP="009C64AE" w:rsidRDefault="009C64AE">
      <w:pPr>
        <w:spacing w:after="0"/>
        <w:rPr>
          <w:b/>
          <w:i/>
        </w:rPr>
      </w:pPr>
      <w:bookmarkStart w:name="OLE_LINK1" w:id="4"/>
      <w:r w:rsidRPr="0038138F">
        <w:rPr>
          <w:b/>
          <w:i/>
        </w:rPr>
        <w:t>Rozsah školení:</w:t>
      </w:r>
    </w:p>
    <w:p w:rsidR="009C64AE" w:rsidP="00F96543" w:rsidRDefault="009C64AE">
      <w:pPr>
        <w:pStyle w:val="Bezmezer"/>
      </w:pPr>
      <w:r w:rsidRPr="00F96543">
        <w:rPr>
          <w:i/>
        </w:rPr>
        <w:t>Počet školených osob celkem:</w:t>
      </w:r>
      <w:r w:rsidR="00F96543">
        <w:rPr>
          <w:i/>
        </w:rPr>
        <w:tab/>
      </w:r>
      <w:r w:rsidR="00F96543">
        <w:rPr>
          <w:i/>
        </w:rPr>
        <w:tab/>
      </w:r>
      <w:r w:rsidR="00F96543">
        <w:rPr>
          <w:i/>
        </w:rPr>
        <w:tab/>
      </w:r>
      <w:r w:rsidR="00DD7D64">
        <w:t xml:space="preserve"> </w:t>
      </w:r>
      <w:r w:rsidRPr="00F96543" w:rsidR="00DD7D64">
        <w:rPr>
          <w:b/>
        </w:rPr>
        <w:t>12</w:t>
      </w:r>
    </w:p>
    <w:p w:rsidR="009C64AE" w:rsidP="00F96543" w:rsidRDefault="009C64AE">
      <w:pPr>
        <w:pStyle w:val="Bezmezer"/>
      </w:pPr>
      <w:r w:rsidRPr="00F96543">
        <w:rPr>
          <w:i/>
        </w:rPr>
        <w:t>Minimální rozsah vyučovacích hodin</w:t>
      </w:r>
      <w:r w:rsidRPr="00F96543" w:rsidR="00444A23">
        <w:rPr>
          <w:i/>
        </w:rPr>
        <w:t xml:space="preserve"> (á </w:t>
      </w:r>
      <w:r w:rsidRPr="00F96543" w:rsidR="00DD7D64">
        <w:rPr>
          <w:i/>
        </w:rPr>
        <w:t>60</w:t>
      </w:r>
      <w:r w:rsidRPr="00F96543" w:rsidR="00444A23">
        <w:rPr>
          <w:i/>
        </w:rPr>
        <w:t xml:space="preserve"> min):</w:t>
      </w:r>
      <w:r w:rsidR="00444A23">
        <w:t xml:space="preserve"> </w:t>
      </w:r>
      <w:r w:rsidRPr="00F96543" w:rsidR="00DD7D64">
        <w:rPr>
          <w:b/>
        </w:rPr>
        <w:t>16</w:t>
      </w:r>
    </w:p>
    <w:p w:rsidRPr="00F96543" w:rsidR="00F96543" w:rsidP="00F96543" w:rsidRDefault="00F96543">
      <w:pPr>
        <w:pStyle w:val="Bezmezer"/>
        <w:rPr>
          <w:i/>
        </w:rPr>
      </w:pPr>
      <w:r w:rsidRPr="00F96543">
        <w:rPr>
          <w:i/>
        </w:rPr>
        <w:t xml:space="preserve">Požadovaná minimální obsahová témata: </w:t>
      </w:r>
    </w:p>
    <w:p w:rsidRPr="00F96543" w:rsidR="00F96543" w:rsidP="00F96543" w:rsidRDefault="00F96543">
      <w:pPr>
        <w:pStyle w:val="Bezmezer"/>
        <w:numPr>
          <w:ilvl w:val="0"/>
          <w:numId w:val="15"/>
        </w:numPr>
      </w:pPr>
      <w:r w:rsidRPr="00F96543">
        <w:t>Základní přehled pokročilých možností programování</w:t>
      </w:r>
    </w:p>
    <w:p w:rsidRPr="00F96543" w:rsidR="00F96543" w:rsidP="00F96543" w:rsidRDefault="00F96543">
      <w:pPr>
        <w:pStyle w:val="Bezmezer"/>
        <w:numPr>
          <w:ilvl w:val="0"/>
          <w:numId w:val="15"/>
        </w:numPr>
      </w:pPr>
      <w:r w:rsidRPr="00F96543">
        <w:t>Údržby, zabezpečení a alokace paměti</w:t>
      </w:r>
    </w:p>
    <w:p w:rsidRPr="00F96543" w:rsidR="00F96543" w:rsidP="00F96543" w:rsidRDefault="00F96543">
      <w:pPr>
        <w:pStyle w:val="Bezmezer"/>
        <w:numPr>
          <w:ilvl w:val="0"/>
          <w:numId w:val="15"/>
        </w:numPr>
      </w:pPr>
      <w:r w:rsidRPr="00F96543">
        <w:t>Doporučené postupy pro In-</w:t>
      </w:r>
      <w:proofErr w:type="spellStart"/>
      <w:r w:rsidRPr="00F96543">
        <w:t>memory</w:t>
      </w:r>
      <w:proofErr w:type="spellEnd"/>
      <w:r w:rsidRPr="00F96543">
        <w:t xml:space="preserve"> technologie, výhody a omezení</w:t>
      </w:r>
    </w:p>
    <w:p w:rsidRPr="00F96543" w:rsidR="00F96543" w:rsidP="00F96543" w:rsidRDefault="00F96543">
      <w:pPr>
        <w:pStyle w:val="Bezmezer"/>
        <w:numPr>
          <w:ilvl w:val="0"/>
          <w:numId w:val="15"/>
        </w:numPr>
      </w:pPr>
      <w:r w:rsidRPr="00F96543">
        <w:t>Výkon (</w:t>
      </w:r>
      <w:proofErr w:type="spellStart"/>
      <w:r w:rsidRPr="00F96543">
        <w:t>Columnstore</w:t>
      </w:r>
      <w:proofErr w:type="spellEnd"/>
      <w:r w:rsidRPr="00F96543">
        <w:t xml:space="preserve"> indexy, statistiky, uzamykání online operací</w:t>
      </w:r>
    </w:p>
    <w:p w:rsidR="00F96543" w:rsidP="00F96543" w:rsidRDefault="00F96543">
      <w:pPr>
        <w:pStyle w:val="Bezmezer"/>
      </w:pPr>
    </w:p>
    <w:p w:rsidR="009C64AE" w:rsidP="00F96543" w:rsidRDefault="00AC359D">
      <w:pPr>
        <w:pStyle w:val="Bezmezer"/>
      </w:pPr>
      <w:r w:rsidRPr="00F96543">
        <w:rPr>
          <w:i/>
        </w:rPr>
        <w:t xml:space="preserve">Maximální přípustná částka </w:t>
      </w:r>
      <w:r w:rsidRPr="00F96543" w:rsidR="009C64AE">
        <w:rPr>
          <w:i/>
        </w:rPr>
        <w:t>vzdělávací aktivity bez DPH:</w:t>
      </w:r>
      <w:r w:rsidR="00F96543">
        <w:rPr>
          <w:i/>
        </w:rPr>
        <w:tab/>
      </w:r>
      <w:r w:rsidRPr="00F96543" w:rsidR="00DD7D64">
        <w:rPr>
          <w:b/>
        </w:rPr>
        <w:t>50.</w:t>
      </w:r>
      <w:r w:rsidRPr="00F96543" w:rsidR="00C164DF">
        <w:rPr>
          <w:b/>
        </w:rPr>
        <w:t>000</w:t>
      </w:r>
      <w:r w:rsidRPr="00F96543" w:rsidR="00444A23">
        <w:rPr>
          <w:b/>
        </w:rPr>
        <w:t>,- Kč</w:t>
      </w:r>
    </w:p>
    <w:p w:rsidR="009C64AE" w:rsidP="00F96543" w:rsidRDefault="009C64AE">
      <w:pPr>
        <w:pStyle w:val="Bezmezer"/>
        <w:ind w:left="3540" w:hanging="3540"/>
        <w:jc w:val="both"/>
      </w:pPr>
      <w:r w:rsidRPr="00F96543">
        <w:rPr>
          <w:i/>
        </w:rPr>
        <w:t>Místo konání</w:t>
      </w:r>
      <w:r w:rsidRPr="00F96543" w:rsidR="00DD7D64">
        <w:rPr>
          <w:i/>
        </w:rPr>
        <w:t xml:space="preserve"> v</w:t>
      </w:r>
      <w:r w:rsidRPr="00F96543">
        <w:rPr>
          <w:i/>
        </w:rPr>
        <w:t>zdělávací aktivit</w:t>
      </w:r>
      <w:r w:rsidRPr="00F96543" w:rsidR="00DD7D64">
        <w:rPr>
          <w:i/>
        </w:rPr>
        <w:t>y:</w:t>
      </w:r>
      <w:r w:rsidR="00F96543">
        <w:tab/>
      </w:r>
      <w:r w:rsidR="00E074E4">
        <w:t>školící místnost v sídle</w:t>
      </w:r>
      <w:r w:rsidRPr="00DD7D64">
        <w:t xml:space="preserve"> zadavatele</w:t>
      </w:r>
      <w:r w:rsidRPr="00DD7D64" w:rsidR="00DD7D64">
        <w:t xml:space="preserve"> – Pražská 104, 377 01 Jindřichův Hradec</w:t>
      </w:r>
    </w:p>
    <w:p w:rsidRPr="00E074E4" w:rsidR="00E074E4" w:rsidP="00F96543" w:rsidRDefault="00E074E4">
      <w:pPr>
        <w:pStyle w:val="Bezmezer"/>
        <w:ind w:left="3540" w:hanging="3540"/>
        <w:jc w:val="both"/>
      </w:pPr>
      <w:r w:rsidRPr="00F96543">
        <w:rPr>
          <w:i/>
        </w:rPr>
        <w:t>Technické zajištění vzdělávací aktivity:</w:t>
      </w:r>
      <w:r w:rsidR="00F96543">
        <w:rPr>
          <w:i/>
        </w:rPr>
        <w:tab/>
      </w:r>
      <w:r>
        <w:t>možností vzdáleného</w:t>
      </w:r>
      <w:r w:rsidRPr="008F651E">
        <w:t xml:space="preserve"> připojení ke školícímu prostředí školitele. Kromě teoretické výuky dle manuálů dodavatele budou účastníci školení řešit praktické úlohy.</w:t>
      </w:r>
    </w:p>
    <w:p w:rsidR="00C164DF" w:rsidP="00F96543" w:rsidRDefault="009C64AE">
      <w:pPr>
        <w:pStyle w:val="Bezmezer"/>
      </w:pPr>
      <w:r w:rsidRPr="00F96543">
        <w:rPr>
          <w:i/>
        </w:rPr>
        <w:t>Př</w:t>
      </w:r>
      <w:r w:rsidRPr="00F96543" w:rsidR="00DB60B5">
        <w:rPr>
          <w:i/>
        </w:rPr>
        <w:t>edpokládaný termín realizace</w:t>
      </w:r>
      <w:r w:rsidRPr="00F96543" w:rsidR="00444A23">
        <w:rPr>
          <w:i/>
        </w:rPr>
        <w:t>:</w:t>
      </w:r>
      <w:r w:rsidR="00F96543">
        <w:tab/>
      </w:r>
      <w:r w:rsidRPr="00DD7D64" w:rsidR="00DD7D64">
        <w:t xml:space="preserve">červen </w:t>
      </w:r>
      <w:r w:rsidRPr="00DD7D64" w:rsidR="002C237E">
        <w:t>2015</w:t>
      </w:r>
      <w:r w:rsidRPr="00DD7D64" w:rsidR="00444A23">
        <w:t xml:space="preserve"> –</w:t>
      </w:r>
      <w:r w:rsidRPr="00DD7D64" w:rsidR="002C237E">
        <w:t xml:space="preserve"> </w:t>
      </w:r>
      <w:r w:rsidRPr="00DD7D64" w:rsidR="00DD7D64">
        <w:t>srpen</w:t>
      </w:r>
      <w:r w:rsidRPr="00DD7D64" w:rsidR="00444A23">
        <w:t xml:space="preserve"> </w:t>
      </w:r>
      <w:r w:rsidRPr="00DD7D64">
        <w:t>2015</w:t>
      </w:r>
    </w:p>
    <w:p w:rsidRPr="00DD7D64" w:rsidR="00DD7D64" w:rsidP="00F96543" w:rsidRDefault="009C64AE">
      <w:pPr>
        <w:pStyle w:val="Bezmezer"/>
        <w:ind w:left="3540" w:hanging="3540"/>
        <w:jc w:val="both"/>
      </w:pPr>
      <w:r w:rsidRPr="00F96543">
        <w:rPr>
          <w:i/>
        </w:rPr>
        <w:t>Cílov</w:t>
      </w:r>
      <w:r w:rsidRPr="00F96543" w:rsidR="00DD7D64">
        <w:rPr>
          <w:i/>
        </w:rPr>
        <w:t>á</w:t>
      </w:r>
      <w:r w:rsidRPr="00F96543">
        <w:rPr>
          <w:i/>
        </w:rPr>
        <w:t xml:space="preserve"> skupin</w:t>
      </w:r>
      <w:r w:rsidRPr="00F96543" w:rsidR="00DD7D64">
        <w:rPr>
          <w:i/>
        </w:rPr>
        <w:t>a</w:t>
      </w:r>
      <w:r w:rsidRPr="00F96543">
        <w:rPr>
          <w:i/>
        </w:rPr>
        <w:t>:</w:t>
      </w:r>
      <w:r w:rsidR="00F96543">
        <w:rPr>
          <w:i/>
        </w:rPr>
        <w:tab/>
      </w:r>
      <w:r w:rsidR="00A81EA3">
        <w:t xml:space="preserve">Cílovou skupinou vzdělávací aktivity jsou </w:t>
      </w:r>
      <w:r w:rsidRPr="00DD7D64" w:rsidR="00DD7D64">
        <w:t xml:space="preserve">pracovníci vývojového oddělení, jejichž pracovní náplní je realizace IT projektů pro zákazníky a již disponují základními znalostmi SQL Serveru 2014. </w:t>
      </w:r>
    </w:p>
    <w:p w:rsidRPr="00DD7D64" w:rsidR="00DD7D64" w:rsidP="00F96543" w:rsidRDefault="009C64AE">
      <w:pPr>
        <w:pStyle w:val="Bezmezer"/>
        <w:ind w:left="3540" w:hanging="3540"/>
        <w:jc w:val="both"/>
      </w:pPr>
      <w:r w:rsidRPr="00F96543">
        <w:rPr>
          <w:i/>
        </w:rPr>
        <w:lastRenderedPageBreak/>
        <w:t>Cíl vzdělávací aktivity:</w:t>
      </w:r>
      <w:r w:rsidR="00F96543">
        <w:tab/>
        <w:t>C</w:t>
      </w:r>
      <w:r w:rsidRPr="00DD7D64" w:rsidR="00DD7D64">
        <w:t>ílem je prohloubit a rozšířit znalosti pro dosažení potřebné úrovně technických kompetencí, které zvýší profesionalitu žadatele a posílí jeho schopnost získat a realizovat výkonově rozsáhlejší a komplikovanější zakázky s využitím pokročilých technologií programování SQL Server 2014.</w:t>
      </w:r>
    </w:p>
    <w:p w:rsidR="009C64AE" w:rsidP="00C164DF" w:rsidRDefault="009C64AE">
      <w:pPr>
        <w:spacing w:before="120"/>
        <w:rPr>
          <w:b/>
          <w:u w:val="single"/>
        </w:rPr>
      </w:pPr>
    </w:p>
    <w:p w:rsidR="009C64AE" w:rsidP="009C64AE" w:rsidRDefault="009C64AE">
      <w:pPr>
        <w:pStyle w:val="Nadpis1"/>
      </w:pPr>
      <w:bookmarkStart w:name="_Toc420585439" w:id="5"/>
      <w:bookmarkEnd w:id="4"/>
      <w:r>
        <w:t>Kvalifikační požadavky</w:t>
      </w:r>
      <w:bookmarkEnd w:id="5"/>
    </w:p>
    <w:p w:rsidR="009C64AE" w:rsidP="009C64AE" w:rsidRDefault="009C64AE">
      <w:pPr>
        <w:pStyle w:val="Nadpis2"/>
      </w:pPr>
      <w:bookmarkStart w:name="_Toc420585440" w:id="6"/>
      <w:r>
        <w:t>Požadavky na prokázání kvalifikace dodavatele</w:t>
      </w:r>
      <w:bookmarkEnd w:id="6"/>
    </w:p>
    <w:p w:rsidRPr="00633C9A" w:rsidR="00633C9A" w:rsidP="00633C9A" w:rsidRDefault="009C64AE">
      <w:pPr>
        <w:pStyle w:val="Odstavecseseznamem"/>
        <w:numPr>
          <w:ilvl w:val="0"/>
          <w:numId w:val="3"/>
        </w:numPr>
      </w:pPr>
      <w:r>
        <w:t>Požadavky na prokázání kvalifikace</w:t>
      </w:r>
      <w:r w:rsidR="00633C9A">
        <w:t>:</w:t>
      </w:r>
    </w:p>
    <w:p w:rsidRPr="00633C9A" w:rsidR="00633C9A" w:rsidP="00DC2BB5" w:rsidRDefault="00633C9A">
      <w:pPr>
        <w:pStyle w:val="Odstavecseseznamem"/>
        <w:numPr>
          <w:ilvl w:val="1"/>
          <w:numId w:val="3"/>
        </w:numPr>
        <w:jc w:val="both"/>
      </w:pPr>
      <w:r w:rsidRPr="00633C9A">
        <w:rPr>
          <w:b/>
        </w:rPr>
        <w:t>výpis z obchodního rejstříku</w:t>
      </w:r>
      <w:r w:rsidRPr="00633C9A">
        <w:t xml:space="preserve"> pokud je v něm uchazeč zapsán</w:t>
      </w:r>
      <w:r>
        <w:t xml:space="preserve"> či </w:t>
      </w:r>
      <w:r w:rsidRPr="00633C9A">
        <w:rPr>
          <w:b/>
        </w:rPr>
        <w:t>výpis z jiné obdobné evidence</w:t>
      </w:r>
      <w:r>
        <w:t>, pokud je v ní zapsán</w:t>
      </w:r>
      <w:r w:rsidRPr="00633C9A">
        <w:t xml:space="preserve"> – požadovaný doklad je dostačující předložit v prosté kopii, ne starší 90 kalendářních dnů ke dni podání nabídky</w:t>
      </w:r>
    </w:p>
    <w:p w:rsidRPr="00633C9A" w:rsidR="00633C9A" w:rsidP="00DC2BB5" w:rsidRDefault="00633C9A">
      <w:pPr>
        <w:pStyle w:val="Odstavecseseznamem"/>
        <w:numPr>
          <w:ilvl w:val="1"/>
          <w:numId w:val="3"/>
        </w:numPr>
        <w:jc w:val="both"/>
      </w:pPr>
      <w:r w:rsidRPr="00633C9A">
        <w:rPr>
          <w:b/>
        </w:rPr>
        <w:t>doklad o oprávnění k podnikání</w:t>
      </w:r>
      <w:r w:rsidRPr="00633C9A">
        <w:t xml:space="preserve"> (např. výpis ze živnostenského rejstříku) – požadovaný doklad je dostačující předložit v prosté kopii, ne starší 90 kalendářních dnů ke dni podání nabídky</w:t>
      </w:r>
    </w:p>
    <w:p w:rsidRPr="00633C9A" w:rsidR="00633C9A" w:rsidP="00DC2BB5" w:rsidRDefault="00633C9A">
      <w:pPr>
        <w:pStyle w:val="Odstavecseseznamem"/>
        <w:numPr>
          <w:ilvl w:val="1"/>
          <w:numId w:val="3"/>
        </w:numPr>
        <w:jc w:val="both"/>
      </w:pPr>
      <w:r w:rsidRPr="00633C9A">
        <w:rPr>
          <w:b/>
        </w:rPr>
        <w:t>čestné prohlášení o tom, že uchazeč nemá daňové nedoplatky, nedoplatky na pojistném či penále na veřejné zdravotní pojištění, na sociální zabezpečení nebo na příspěvku na státní politiku zaměstnanosti</w:t>
      </w:r>
      <w:r w:rsidRPr="00633C9A">
        <w:t xml:space="preserve"> podepsané osobou oprávněnou k podpisu za uchazeče – požadovaný doklad nesmí být starší </w:t>
      </w:r>
      <w:r>
        <w:t>3</w:t>
      </w:r>
      <w:r w:rsidRPr="00633C9A">
        <w:t>0 kalendářních dnů ke dni podání nabídky</w:t>
      </w:r>
    </w:p>
    <w:p w:rsidR="009C64AE" w:rsidP="00DC2BB5" w:rsidRDefault="00E074E4">
      <w:pPr>
        <w:pStyle w:val="Odstavecseseznamem"/>
        <w:numPr>
          <w:ilvl w:val="1"/>
          <w:numId w:val="3"/>
        </w:numPr>
        <w:jc w:val="both"/>
      </w:pPr>
      <w:r>
        <w:rPr>
          <w:b/>
        </w:rPr>
        <w:t>Platný c</w:t>
      </w:r>
      <w:r w:rsidRPr="00633C9A" w:rsidR="00633C9A">
        <w:rPr>
          <w:b/>
        </w:rPr>
        <w:t xml:space="preserve">ertifikát MCT – Microsoft </w:t>
      </w:r>
      <w:proofErr w:type="spellStart"/>
      <w:r w:rsidRPr="00633C9A" w:rsidR="00633C9A">
        <w:rPr>
          <w:b/>
        </w:rPr>
        <w:t>Certified</w:t>
      </w:r>
      <w:proofErr w:type="spellEnd"/>
      <w:r w:rsidRPr="00633C9A" w:rsidR="00633C9A">
        <w:rPr>
          <w:b/>
        </w:rPr>
        <w:t xml:space="preserve"> </w:t>
      </w:r>
      <w:proofErr w:type="spellStart"/>
      <w:r w:rsidRPr="00633C9A" w:rsidR="00633C9A">
        <w:rPr>
          <w:b/>
        </w:rPr>
        <w:t>Trainer</w:t>
      </w:r>
      <w:proofErr w:type="spellEnd"/>
      <w:r w:rsidRPr="00633C9A" w:rsidR="00633C9A">
        <w:t xml:space="preserve">  prokazující znalost školitele nástrojů M</w:t>
      </w:r>
      <w:r w:rsidR="00DC2BB5">
        <w:t>icrosoft</w:t>
      </w:r>
      <w:r>
        <w:t xml:space="preserve"> – požadovaný doklad je dostačující předložit v prosté kopii</w:t>
      </w:r>
    </w:p>
    <w:p w:rsidR="00E074E4" w:rsidP="00E074E4" w:rsidRDefault="00E074E4">
      <w:pPr>
        <w:pStyle w:val="Odstavecseseznamem"/>
        <w:numPr>
          <w:ilvl w:val="1"/>
          <w:numId w:val="3"/>
        </w:numPr>
        <w:jc w:val="both"/>
      </w:pPr>
      <w:r>
        <w:rPr>
          <w:b/>
        </w:rPr>
        <w:t>Platný c</w:t>
      </w:r>
      <w:r w:rsidRPr="00633C9A">
        <w:rPr>
          <w:b/>
        </w:rPr>
        <w:t>ertifikát MC</w:t>
      </w:r>
      <w:r>
        <w:rPr>
          <w:b/>
        </w:rPr>
        <w:t>SE</w:t>
      </w:r>
      <w:r w:rsidRPr="00633C9A">
        <w:rPr>
          <w:b/>
        </w:rPr>
        <w:t xml:space="preserve"> – Microsoft </w:t>
      </w:r>
      <w:proofErr w:type="spellStart"/>
      <w:r w:rsidRPr="00633C9A">
        <w:rPr>
          <w:b/>
        </w:rPr>
        <w:t>Certified</w:t>
      </w:r>
      <w:proofErr w:type="spellEnd"/>
      <w:r w:rsidRPr="00633C9A">
        <w:rPr>
          <w:b/>
        </w:rPr>
        <w:t xml:space="preserve"> </w:t>
      </w:r>
      <w:proofErr w:type="spellStart"/>
      <w:r>
        <w:rPr>
          <w:b/>
        </w:rPr>
        <w:t>Solution</w:t>
      </w:r>
      <w:proofErr w:type="spellEnd"/>
      <w:r>
        <w:rPr>
          <w:b/>
        </w:rPr>
        <w:t xml:space="preserve"> Expert</w:t>
      </w:r>
      <w:r w:rsidRPr="00633C9A">
        <w:t xml:space="preserve"> prokazující znalost školitele nástrojů M</w:t>
      </w:r>
      <w:r>
        <w:t>icrosoft – požadovaný doklad je dostačující předložit v prosté kopii</w:t>
      </w:r>
    </w:p>
    <w:p w:rsidR="00E074E4" w:rsidP="00E074E4" w:rsidRDefault="00E074E4">
      <w:pPr>
        <w:pStyle w:val="Odstavecseseznamem"/>
        <w:ind w:left="1440"/>
        <w:jc w:val="both"/>
      </w:pPr>
    </w:p>
    <w:p w:rsidR="009C64AE" w:rsidP="00DC2BB5" w:rsidRDefault="009C64AE">
      <w:pPr>
        <w:pStyle w:val="Odstavecseseznamem"/>
        <w:numPr>
          <w:ilvl w:val="0"/>
          <w:numId w:val="3"/>
        </w:numPr>
        <w:jc w:val="both"/>
      </w:pPr>
      <w:r>
        <w:t>Pokud uchazeč nebude schopen splnit požadavky uvedené v textu výzvy k podání nabídek v plném rozsahu, bude z výběrového řízení vyloučen.</w:t>
      </w:r>
    </w:p>
    <w:p w:rsidR="009C64AE" w:rsidP="009C64AE" w:rsidRDefault="009C64AE">
      <w:pPr>
        <w:pStyle w:val="Nadpis2"/>
      </w:pPr>
      <w:bookmarkStart w:name="_Toc420585441" w:id="7"/>
      <w:r>
        <w:t>Změna kvalifikačních předpokladů v průběhu zadávacího řízení</w:t>
      </w:r>
      <w:bookmarkEnd w:id="7"/>
    </w:p>
    <w:p w:rsidR="009C64AE" w:rsidP="00DC2BB5" w:rsidRDefault="009C64AE">
      <w:pPr>
        <w:jc w:val="both"/>
      </w:pPr>
      <w:r>
        <w:t>Pokud dojde během doby rozhodnutí o výběru nejvhodnější nabídky k jakékoliv změně v kvalifikaci dodavatele, který by jinak znamenala nesplnění kvalifikace, je dodavatel povinen nejpozději do 7 dnů tuto skutečnost veřejnému zadavateli písemně oznámit a současně předložit potřebné dokumenty prokazující splnění kvalifikace v plném rozsahu.</w:t>
      </w:r>
    </w:p>
    <w:p w:rsidR="009C64AE" w:rsidP="009C64AE" w:rsidRDefault="009C64AE">
      <w:pPr>
        <w:pStyle w:val="Nadpis1"/>
      </w:pPr>
      <w:bookmarkStart w:name="_Toc420585442" w:id="8"/>
      <w:r>
        <w:t>Postup při hodnocení kvalifikace</w:t>
      </w:r>
      <w:bookmarkEnd w:id="8"/>
    </w:p>
    <w:p w:rsidR="009C64AE" w:rsidP="00DC2BB5" w:rsidRDefault="009C64AE">
      <w:pPr>
        <w:jc w:val="both"/>
      </w:pPr>
      <w:r>
        <w:t>Zadavatel vyhodnotí žádosti jednotlivých dodavatelů podle kritérií uvedených ve Výzvě k podán</w:t>
      </w:r>
      <w:r w:rsidR="004C5303">
        <w:t>í</w:t>
      </w:r>
      <w:r>
        <w:t xml:space="preserve"> nabídek a v bodě 3. Zadávací dokumentace metodou „ splnil – nesplnil“</w:t>
      </w:r>
      <w:r w:rsidR="00DC2BB5">
        <w:t>.</w:t>
      </w:r>
    </w:p>
    <w:p w:rsidR="009C64AE" w:rsidP="009C64AE" w:rsidRDefault="009C64AE">
      <w:pPr>
        <w:pStyle w:val="Nadpis1"/>
      </w:pPr>
      <w:bookmarkStart w:name="_Toc420585443" w:id="9"/>
      <w:r>
        <w:lastRenderedPageBreak/>
        <w:t>Podmínky a požadavky zadavatele</w:t>
      </w:r>
      <w:bookmarkEnd w:id="9"/>
    </w:p>
    <w:p w:rsidR="009C64AE" w:rsidP="00DC2BB5" w:rsidRDefault="009C64AE">
      <w:pPr>
        <w:jc w:val="both"/>
      </w:pPr>
      <w:r>
        <w:t>Uchazeč nesmí upravit podmínky a požadavky zadavatele tak, aby zhoršil postavení zadavatele definované zadávacími podmínkami</w:t>
      </w:r>
      <w:r w:rsidR="00F14303">
        <w:t>.</w:t>
      </w:r>
    </w:p>
    <w:p w:rsidR="009C64AE" w:rsidP="00DC2BB5" w:rsidRDefault="009C64AE">
      <w:pPr>
        <w:jc w:val="both"/>
      </w:pPr>
      <w:r>
        <w:t>Obchodní podmínky, Dodací podmínky a Platební podmínky budou pevně stanoveny ve smlouvě, která bude uzavřena bezprostředně po vydání rozhodnutí o výběru nejvhodnější nabídky.</w:t>
      </w:r>
    </w:p>
    <w:p w:rsidRPr="001F4DEC" w:rsidR="004C5303" w:rsidP="00DC2BB5" w:rsidRDefault="004C5303">
      <w:pPr>
        <w:jc w:val="both"/>
      </w:pPr>
      <w:r w:rsidRPr="001F4DEC">
        <w:t xml:space="preserve">Platba </w:t>
      </w:r>
      <w:r w:rsidRPr="001F4DEC" w:rsidR="005C3D3C">
        <w:t xml:space="preserve">za dodanou službu </w:t>
      </w:r>
      <w:r w:rsidRPr="001F4DEC">
        <w:t xml:space="preserve">bude provedena až po </w:t>
      </w:r>
      <w:r w:rsidRPr="001F4DEC" w:rsidR="005C3D3C">
        <w:t>úplné realizaci vzdělávací</w:t>
      </w:r>
      <w:r w:rsidRPr="001F4DEC">
        <w:t xml:space="preserve"> aktivit</w:t>
      </w:r>
      <w:r w:rsidRPr="001F4DEC" w:rsidR="005C3D3C">
        <w:t>y</w:t>
      </w:r>
      <w:r w:rsidRPr="001F4DEC">
        <w:t>.</w:t>
      </w:r>
    </w:p>
    <w:p w:rsidR="009C64AE" w:rsidP="009C64AE" w:rsidRDefault="009C64AE">
      <w:pPr>
        <w:pStyle w:val="Nadpis1"/>
      </w:pPr>
      <w:bookmarkStart w:name="_Toc420585444" w:id="10"/>
      <w:r>
        <w:t>Požadavky na sestavení nabídky</w:t>
      </w:r>
      <w:bookmarkEnd w:id="10"/>
    </w:p>
    <w:p w:rsidR="009C64AE" w:rsidP="009C64AE" w:rsidRDefault="009C64AE">
      <w:pPr>
        <w:pStyle w:val="Nadpis2"/>
      </w:pPr>
      <w:bookmarkStart w:name="_Toc420585445" w:id="11"/>
      <w:r>
        <w:t>Obecné požadavky</w:t>
      </w:r>
      <w:bookmarkEnd w:id="11"/>
    </w:p>
    <w:p w:rsidR="009C64AE" w:rsidP="009C64AE" w:rsidRDefault="009C64AE">
      <w:r w:rsidRPr="00941C3B">
        <w:t xml:space="preserve">Nabídka musí být zadavateli podána v originále v listinné podobě. </w:t>
      </w:r>
    </w:p>
    <w:p w:rsidRPr="00941C3B" w:rsidR="009C64AE" w:rsidP="00DC2BB5" w:rsidRDefault="009C64AE">
      <w:pPr>
        <w:jc w:val="both"/>
      </w:pPr>
      <w:r w:rsidRPr="00941C3B">
        <w:t xml:space="preserve">Požadavek na listinnou podobu je považován za splněný tehdy, pokud je nabídka podepsána osobou oprávněnou jednat jménem či za uchazeče. Nabídka bude zpracována v českém jazyce na základě této výzvy a zadávací dokumentace a nesmí obsahovat přepisy a opravy, které by mohly zadavatele uvést v omyl. </w:t>
      </w:r>
    </w:p>
    <w:p w:rsidR="009C64AE" w:rsidP="00DC2BB5" w:rsidRDefault="009C64AE">
      <w:pPr>
        <w:jc w:val="both"/>
        <w:rPr>
          <w:i/>
        </w:rPr>
      </w:pPr>
      <w:r w:rsidRPr="00941C3B">
        <w:t xml:space="preserve">Nabídka bude zadavateli doručena v řádně uzavřené a zapečetěné obálce, která bude výrazně označena – </w:t>
      </w:r>
      <w:r w:rsidRPr="00941C3B">
        <w:rPr>
          <w:b/>
        </w:rPr>
        <w:t>„NABÍDKA –</w:t>
      </w:r>
      <w:r w:rsidR="00687324">
        <w:rPr>
          <w:b/>
        </w:rPr>
        <w:t xml:space="preserve"> </w:t>
      </w:r>
      <w:r w:rsidRPr="00DC2BB5" w:rsidR="00DC2BB5">
        <w:rPr>
          <w:b/>
        </w:rPr>
        <w:t xml:space="preserve">Pokročilé programování MS SQL Serveru 2014 ve společnosti AMBICA s.r.o. </w:t>
      </w:r>
      <w:r w:rsidRPr="00941C3B">
        <w:rPr>
          <w:b/>
        </w:rPr>
        <w:t>– NEOTVÍRAT“</w:t>
      </w:r>
    </w:p>
    <w:p w:rsidR="009C64AE" w:rsidP="009C64AE" w:rsidRDefault="009C64AE">
      <w:r w:rsidRPr="00941C3B">
        <w:t>Elektronické podání nabídky se nepřipouští.</w:t>
      </w:r>
    </w:p>
    <w:p w:rsidR="009C64AE" w:rsidP="009C64AE" w:rsidRDefault="009C64AE">
      <w:pPr>
        <w:pStyle w:val="Nadpis2"/>
      </w:pPr>
      <w:bookmarkStart w:name="_Toc420585446" w:id="12"/>
      <w:r>
        <w:t>Vlastní sestavení nabídky</w:t>
      </w:r>
      <w:bookmarkEnd w:id="12"/>
    </w:p>
    <w:p w:rsidR="009C64AE" w:rsidP="009C64AE" w:rsidRDefault="009C64AE">
      <w:r>
        <w:t>Nabídka bude obsahovat následující části v uvedeném řazení</w:t>
      </w:r>
    </w:p>
    <w:p w:rsidR="009C64AE" w:rsidP="00DC2BB5" w:rsidRDefault="009C64AE">
      <w:pPr>
        <w:pStyle w:val="Odstavecseseznamem"/>
        <w:numPr>
          <w:ilvl w:val="0"/>
          <w:numId w:val="4"/>
        </w:numPr>
        <w:jc w:val="both"/>
      </w:pPr>
      <w:r>
        <w:t>Krycí list nabídky</w:t>
      </w:r>
    </w:p>
    <w:p w:rsidR="009C64AE" w:rsidP="00DC2BB5" w:rsidRDefault="009C64AE">
      <w:pPr>
        <w:pStyle w:val="Odstavecseseznamem"/>
        <w:numPr>
          <w:ilvl w:val="0"/>
          <w:numId w:val="4"/>
        </w:numPr>
        <w:jc w:val="both"/>
      </w:pPr>
      <w:r>
        <w:t>Obsah s uvedením stránky, kde se příslušná část nabídky nachází</w:t>
      </w:r>
    </w:p>
    <w:p w:rsidR="009C64AE" w:rsidP="00DC2BB5" w:rsidRDefault="0082165E">
      <w:pPr>
        <w:pStyle w:val="Odstavecseseznamem"/>
        <w:numPr>
          <w:ilvl w:val="0"/>
          <w:numId w:val="4"/>
        </w:numPr>
        <w:jc w:val="both"/>
      </w:pPr>
      <w:r>
        <w:t xml:space="preserve">Doklady prokazující </w:t>
      </w:r>
      <w:r w:rsidR="009C64AE">
        <w:t>splnění kvalifikačních předpokladů požadovaných při plnění veřejné zakázky malého rozsahu na služby</w:t>
      </w:r>
    </w:p>
    <w:p w:rsidR="009C64AE" w:rsidP="00DC2BB5" w:rsidRDefault="00484DED">
      <w:pPr>
        <w:pStyle w:val="Odstavecseseznamem"/>
        <w:numPr>
          <w:ilvl w:val="0"/>
          <w:numId w:val="4"/>
        </w:numPr>
        <w:jc w:val="both"/>
      </w:pPr>
      <w:r>
        <w:t xml:space="preserve">Specifikace předmětu zakázky, </w:t>
      </w:r>
      <w:r w:rsidR="0082165E">
        <w:t>rozsah plnění, obsah</w:t>
      </w:r>
      <w:r w:rsidR="009C64AE">
        <w:t xml:space="preserve"> vzd</w:t>
      </w:r>
      <w:r w:rsidR="0082165E">
        <w:t>ělávací aktivity</w:t>
      </w:r>
      <w:r w:rsidR="009C64AE">
        <w:t xml:space="preserve"> včetně bližšího po</w:t>
      </w:r>
      <w:r>
        <w:t>pisu</w:t>
      </w:r>
      <w:r w:rsidR="0082165E">
        <w:t>, nabídková cena</w:t>
      </w:r>
    </w:p>
    <w:p w:rsidR="009C64AE" w:rsidP="00DC2BB5" w:rsidRDefault="009C64AE">
      <w:pPr>
        <w:pStyle w:val="Odstavecseseznamem"/>
        <w:numPr>
          <w:ilvl w:val="0"/>
          <w:numId w:val="4"/>
        </w:numPr>
        <w:jc w:val="both"/>
      </w:pPr>
      <w:r>
        <w:t>Další dokumenty dle potřeby</w:t>
      </w:r>
    </w:p>
    <w:p w:rsidR="009C64AE" w:rsidP="009C64AE" w:rsidRDefault="009C64AE">
      <w:pPr>
        <w:pStyle w:val="Nadpis2"/>
      </w:pPr>
      <w:bookmarkStart w:name="_Toc420585447" w:id="13"/>
      <w:r>
        <w:t>Způsob zpracování nabídkové ceny</w:t>
      </w:r>
      <w:bookmarkEnd w:id="13"/>
    </w:p>
    <w:p w:rsidR="009C64AE" w:rsidP="009C64AE" w:rsidRDefault="009C64AE">
      <w:r>
        <w:t>Způsob zpracování nabídkové ceny:</w:t>
      </w:r>
    </w:p>
    <w:p w:rsidR="009C64AE" w:rsidP="0082165E" w:rsidRDefault="009C64AE">
      <w:pPr>
        <w:jc w:val="both"/>
      </w:pPr>
      <w:r>
        <w:t>Uchazeč navrhne nabídkovou cenu, která bude zpracována jako smluvní, pevná a nejvýše přípustná. Tato cena musí zahrnovat veškeré náklady spojené s plněním předmětu</w:t>
      </w:r>
      <w:r w:rsidR="001F4DEC">
        <w:t xml:space="preserve"> veřejné zakázky. Jako maximální</w:t>
      </w:r>
      <w:r>
        <w:t xml:space="preserve"> cena je cena stanovená v bodě </w:t>
      </w:r>
      <w:proofErr w:type="gramStart"/>
      <w:r>
        <w:t>2.1. této</w:t>
      </w:r>
      <w:proofErr w:type="gramEnd"/>
      <w:r>
        <w:t xml:space="preserve"> zadávací dokumentace.</w:t>
      </w:r>
    </w:p>
    <w:p w:rsidR="009C64AE" w:rsidP="0082165E" w:rsidRDefault="009C64AE">
      <w:pPr>
        <w:jc w:val="both"/>
      </w:pPr>
      <w:r>
        <w:lastRenderedPageBreak/>
        <w:t>Nabídková cena bude uvedena v členění cena bez DPH, výše DPH a cena včetně DPH. Všechny ceny budou uvedeny v absolutních hodnotách v korunách českých.</w:t>
      </w:r>
    </w:p>
    <w:p w:rsidR="0082165E" w:rsidP="0082165E" w:rsidRDefault="009C64AE">
      <w:pPr>
        <w:jc w:val="both"/>
      </w:pPr>
      <w:r>
        <w:t>Podmínky pro překročení nabídkové ceny</w:t>
      </w:r>
      <w:r w:rsidR="0082165E">
        <w:t>: z</w:t>
      </w:r>
      <w:r>
        <w:t xml:space="preserve">adavatel překročení nabídkové ceny během průběhu realizace nepřipouští po celou dobu platnosti smlouvy. </w:t>
      </w:r>
    </w:p>
    <w:p w:rsidR="009C64AE" w:rsidP="0082165E" w:rsidRDefault="009C64AE">
      <w:pPr>
        <w:jc w:val="both"/>
      </w:pPr>
      <w:r>
        <w:t xml:space="preserve">Zadavatel si vyhrazuje právo neuzavřít smlouvu s uchazečem, jehož nabídnutá cena překročí stanovenou předpokládanou hodnotu výběrového řízení v korunách českých bez DPH. </w:t>
      </w:r>
    </w:p>
    <w:p w:rsidR="009C64AE" w:rsidP="009C64AE" w:rsidRDefault="009C64AE">
      <w:pPr>
        <w:pStyle w:val="Nadpis2"/>
      </w:pPr>
      <w:bookmarkStart w:name="_Toc420585448" w:id="14"/>
      <w:r>
        <w:t>Ostatní požadavky na realizaci zakázky</w:t>
      </w:r>
      <w:bookmarkEnd w:id="14"/>
    </w:p>
    <w:p w:rsidR="009C64AE" w:rsidP="0082165E" w:rsidRDefault="009C64AE">
      <w:pPr>
        <w:jc w:val="both"/>
      </w:pPr>
      <w:r>
        <w:t xml:space="preserve">Dodavatel je povinen dodržovat zásady a pravidla vztahující se na projekty realizované v rámci OP LZZ uvedené v tzv. Desateru příruček OP LZZ dostupném na </w:t>
      </w:r>
      <w:hyperlink w:history="true" r:id="rId8">
        <w:r w:rsidRPr="007F37D8" w:rsidR="0082165E">
          <w:rPr>
            <w:rStyle w:val="Hypertextovodkaz"/>
          </w:rPr>
          <w:t>www.esfcr.cz</w:t>
        </w:r>
      </w:hyperlink>
      <w:r w:rsidR="003B4930">
        <w:t>. T</w:t>
      </w:r>
      <w:r>
        <w:t xml:space="preserve">yto zásady a pravidla jsou průběžně aktualizovány nadřízeným orgánem Evropským sociálním fondem ČR, povinností dodavatele bude sledovat příslušné aktualizace a postupovat vždy v souladu s aktuálně platnými předpisy. </w:t>
      </w:r>
    </w:p>
    <w:p w:rsidR="009C64AE" w:rsidP="0082165E" w:rsidRDefault="009C64AE">
      <w:pPr>
        <w:jc w:val="both"/>
      </w:pPr>
      <w:r>
        <w:t>Zvláštní důraz zadavatel klade na povinnost dodržovat zásady publi</w:t>
      </w:r>
      <w:r w:rsidR="00F14303">
        <w:t>city. Dodavatel je povinen po c</w:t>
      </w:r>
      <w:r>
        <w:t>e</w:t>
      </w:r>
      <w:r w:rsidR="00F14303">
        <w:t>l</w:t>
      </w:r>
      <w:r>
        <w:t xml:space="preserve">ou dobu realizace zakázky dodržovat informační povinnost dle Manuálu pro publicitu OP LZZ, Manuálu vizuální identity OP LZZ a Manuálu vizuální identity ESF v ČR pro období 2007 – 2013, které jsou dostupné taktéž na </w:t>
      </w:r>
      <w:hyperlink w:history="true" r:id="rId9">
        <w:r w:rsidRPr="00647AC5">
          <w:rPr>
            <w:rStyle w:val="Hypertextovodkaz"/>
          </w:rPr>
          <w:t>http://www.esfcr.cz/folder/4628/</w:t>
        </w:r>
      </w:hyperlink>
      <w:r>
        <w:t>)</w:t>
      </w:r>
    </w:p>
    <w:p w:rsidR="009C64AE" w:rsidP="009C64AE" w:rsidRDefault="009C64AE">
      <w:pPr>
        <w:pStyle w:val="Nadpis1"/>
      </w:pPr>
      <w:bookmarkStart w:name="_Toc420585449" w:id="15"/>
      <w:r>
        <w:t>Posouzení a hodnocení nabídek</w:t>
      </w:r>
      <w:bookmarkEnd w:id="15"/>
    </w:p>
    <w:p w:rsidR="009C64AE" w:rsidP="009C64AE" w:rsidRDefault="009C64AE">
      <w:pPr>
        <w:pStyle w:val="Nadpis2"/>
      </w:pPr>
      <w:bookmarkStart w:name="_Toc420585450" w:id="16"/>
      <w:r>
        <w:t>Hodnotící kritéria a způsob hodnocení</w:t>
      </w:r>
      <w:bookmarkEnd w:id="16"/>
    </w:p>
    <w:p w:rsidR="009C64AE" w:rsidP="009C64AE" w:rsidRDefault="009C64AE">
      <w:pPr>
        <w:pStyle w:val="Nadpis3"/>
      </w:pPr>
      <w:bookmarkStart w:name="_Toc420585451" w:id="17"/>
      <w:r>
        <w:t>Stanovená hodnotící kritéria</w:t>
      </w:r>
      <w:bookmarkEnd w:id="17"/>
    </w:p>
    <w:p w:rsidR="009C64AE" w:rsidP="003B4930" w:rsidRDefault="009C64AE">
      <w:pPr>
        <w:jc w:val="both"/>
      </w:pPr>
      <w:r>
        <w:t>Základním hodnotícím kritériem pro hodnocení nabídek je ekonomická výhodnost nabídky.</w:t>
      </w:r>
    </w:p>
    <w:p w:rsidR="009C64AE" w:rsidP="003B4930" w:rsidRDefault="009C64AE">
      <w:pPr>
        <w:jc w:val="both"/>
      </w:pPr>
      <w:r>
        <w:t>Pro hodnocení nabídky zadavatel stanovuje tato dílčí kritéria:</w:t>
      </w:r>
    </w:p>
    <w:p w:rsidR="009C64AE" w:rsidP="003B4930" w:rsidRDefault="003B4930">
      <w:pPr>
        <w:pStyle w:val="Odstavecseseznamem"/>
        <w:numPr>
          <w:ilvl w:val="0"/>
          <w:numId w:val="5"/>
        </w:numPr>
        <w:jc w:val="both"/>
      </w:pPr>
      <w:r>
        <w:t>Nabídková cena bez DPH – 6</w:t>
      </w:r>
      <w:r w:rsidR="009C64AE">
        <w:t>0 %</w:t>
      </w:r>
    </w:p>
    <w:p w:rsidR="009C64AE" w:rsidP="003B4930" w:rsidRDefault="009C64AE">
      <w:pPr>
        <w:pStyle w:val="Odstavecseseznamem"/>
        <w:numPr>
          <w:ilvl w:val="0"/>
          <w:numId w:val="5"/>
        </w:numPr>
        <w:jc w:val="both"/>
      </w:pPr>
      <w:r>
        <w:t>Kvalit</w:t>
      </w:r>
      <w:r w:rsidR="003B4930">
        <w:t>a a rozsah nabízených služeb – 4</w:t>
      </w:r>
      <w:r>
        <w:t>0 %</w:t>
      </w:r>
    </w:p>
    <w:p w:rsidR="009C64AE" w:rsidP="003B4930" w:rsidRDefault="009C64AE">
      <w:pPr>
        <w:pStyle w:val="Nadpis3"/>
      </w:pPr>
      <w:bookmarkStart w:name="_Toc420585452" w:id="18"/>
      <w:r>
        <w:t>Metodika hodnocení nabídek</w:t>
      </w:r>
      <w:bookmarkEnd w:id="18"/>
    </w:p>
    <w:p w:rsidR="009C64AE" w:rsidP="003B4930" w:rsidRDefault="009C64AE">
      <w:pPr>
        <w:jc w:val="both"/>
      </w:pPr>
      <w:r>
        <w:t>Nabídky budou hodnoceny dle Metodického pokynu pro za</w:t>
      </w:r>
      <w:r w:rsidR="00511412">
        <w:t>dávání zakázek OP LZZ ve verzi 2.0</w:t>
      </w:r>
      <w:r>
        <w:t xml:space="preserve"> ze dne </w:t>
      </w:r>
      <w:r w:rsidR="00511412">
        <w:t>2. 3. 2015.</w:t>
      </w:r>
    </w:p>
    <w:p w:rsidR="007D3215" w:rsidP="007D3215" w:rsidRDefault="009C64AE">
      <w:pPr>
        <w:spacing w:line="240" w:lineRule="auto"/>
        <w:jc w:val="both"/>
      </w:pPr>
      <w:r>
        <w:t>Nejprve bude posouzena úplnost nabídky. Posuzováno bude:</w:t>
      </w:r>
    </w:p>
    <w:p w:rsidR="009C64AE" w:rsidP="007D3215" w:rsidRDefault="009C64AE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>Zda nabídka obsahuje všechny požadované části;</w:t>
      </w:r>
    </w:p>
    <w:p w:rsidR="009C64AE" w:rsidP="003B4930" w:rsidRDefault="009C64AE">
      <w:pPr>
        <w:pStyle w:val="Odstavecseseznamem"/>
        <w:numPr>
          <w:ilvl w:val="0"/>
          <w:numId w:val="6"/>
        </w:numPr>
        <w:jc w:val="both"/>
      </w:pPr>
      <w:r>
        <w:t>Zda je podepsána oprávněnou osobou;</w:t>
      </w:r>
    </w:p>
    <w:p w:rsidR="009C64AE" w:rsidP="003B4930" w:rsidRDefault="009C64AE">
      <w:pPr>
        <w:pStyle w:val="Odstavecseseznamem"/>
        <w:numPr>
          <w:ilvl w:val="0"/>
          <w:numId w:val="6"/>
        </w:numPr>
        <w:jc w:val="both"/>
      </w:pPr>
      <w:r>
        <w:t>Zda nabídka obsahuje kontaktní údaje na osobu uchazeče odpovědnou za výběrové řízení;</w:t>
      </w:r>
    </w:p>
    <w:p w:rsidR="009C64AE" w:rsidP="003B4930" w:rsidRDefault="009C64AE">
      <w:pPr>
        <w:pStyle w:val="Odstavecseseznamem"/>
        <w:numPr>
          <w:ilvl w:val="0"/>
          <w:numId w:val="6"/>
        </w:numPr>
        <w:jc w:val="both"/>
      </w:pPr>
      <w:r>
        <w:t>Zda nabídka obsahuje veškeré doklady/dokumenty dokládající kvalifikaci dodavatele;</w:t>
      </w:r>
    </w:p>
    <w:p w:rsidR="009C64AE" w:rsidP="003B4930" w:rsidRDefault="009C64AE">
      <w:pPr>
        <w:pStyle w:val="Odstavecseseznamem"/>
        <w:numPr>
          <w:ilvl w:val="0"/>
          <w:numId w:val="6"/>
        </w:numPr>
        <w:jc w:val="both"/>
      </w:pPr>
      <w:r>
        <w:t>Zda předmět nabídky odpovídá poptávanému předmětu plnění.</w:t>
      </w:r>
    </w:p>
    <w:p w:rsidR="009C64AE" w:rsidP="003B4930" w:rsidRDefault="009C64AE">
      <w:pPr>
        <w:jc w:val="both"/>
      </w:pPr>
      <w:r>
        <w:lastRenderedPageBreak/>
        <w:t>Pokud nabídka splní všechny výše uvedené body, bude hodnocena dle hodnotících kritérií. Pro hodnocení nabídky použije hodnotící komi</w:t>
      </w:r>
      <w:r w:rsidR="00B847FE">
        <w:t>se bodovací stupnici v rozsahu 1</w:t>
      </w:r>
      <w:r>
        <w:t xml:space="preserve"> až 100. Jednotlivým dílčím hodnotícím kritériím jsou zadavatelem stanoveny váhy v procentech podle jejich důležitosti pro zadávací řízení tak, že jejich součet je celkem 100.</w:t>
      </w:r>
    </w:p>
    <w:p w:rsidR="009C64AE" w:rsidP="003B4930" w:rsidRDefault="009C64AE">
      <w:pPr>
        <w:jc w:val="both"/>
      </w:pPr>
      <w:r>
        <w:t>Bodové hodnocení nabídky je dáno součtem bodových hodnocení nabídky v jednotlivých dílčích hodnotících kritériích. V každém dílčím hodnotícím kritériu může nabídka získat maximálně tolik bodů, kolik je váha tohoto kritéria uvedená v procentech.</w:t>
      </w:r>
    </w:p>
    <w:p w:rsidR="009C64AE" w:rsidP="003B4930" w:rsidRDefault="009C64AE">
      <w:pPr>
        <w:jc w:val="both"/>
      </w:pPr>
      <w:r>
        <w:t>Každé jednotlivé nabídce je dle dílčího hodnotícího kritéria přidělena hodnota nabídky, která se určí:</w:t>
      </w:r>
    </w:p>
    <w:p w:rsidR="009C64AE" w:rsidP="003B4930" w:rsidRDefault="009C64AE">
      <w:pPr>
        <w:pStyle w:val="Odstavecseseznamem"/>
        <w:numPr>
          <w:ilvl w:val="0"/>
          <w:numId w:val="7"/>
        </w:numPr>
        <w:jc w:val="both"/>
      </w:pPr>
      <w:r>
        <w:t>Pro kritéria, která jsou jednoznačně číselně vyjádřitelná (Nabídková cena), jako přímá číselná hodnota nabídnutá uchazečem a pro kritéria, která nejsou jednoznačně číselně vyjádřitelná (Kvalita a rozsah nabízených služeb), jako součet bodů, které nabídce v rámci dílčího kritéria přidělí jednotliví členové hodnotící komise tak, že dle svého názoru nejvhodnější nabídce přiřadí 100bodů a každé následující nabídce přiřadí takové bodové ohodnocení, které vyjadřuje míru splnění dílčího kritéria ve vztahu k nejvhodnější nabídce.</w:t>
      </w:r>
    </w:p>
    <w:p w:rsidR="009C64AE" w:rsidP="003B4930" w:rsidRDefault="009C64AE">
      <w:pPr>
        <w:pStyle w:val="Odstavecseseznamem"/>
        <w:numPr>
          <w:ilvl w:val="0"/>
          <w:numId w:val="7"/>
        </w:numPr>
        <w:jc w:val="both"/>
      </w:pPr>
      <w:r>
        <w:t xml:space="preserve">Hodnocení podle bodovací metody bude provedeno tak, že bodové hodnoty přiřazené v rámci jednotlivých kritérií budou násobeny příslušnou vahou. Na základě součtu výsledných hodnot u jednotlivých nabídek bude sestaveno konečné pořadí úspěšnosti nabídek, přičemž jako nejvýhodnější bude vyhodnocena nabídka s nejvyšším součtem bodů. </w:t>
      </w:r>
    </w:p>
    <w:p w:rsidR="009C64AE" w:rsidP="009C64AE" w:rsidRDefault="009C64AE">
      <w:pPr>
        <w:pStyle w:val="Odstavecseseznamem"/>
      </w:pPr>
    </w:p>
    <w:p w:rsidR="009C64AE" w:rsidP="003B4930" w:rsidRDefault="009C64AE">
      <w:pPr>
        <w:jc w:val="both"/>
      </w:pPr>
      <w:r>
        <w:t>Nejúspěšnější bude ta nabídka, která dosáhne nejvyšší hodnoty. V případě rovnosti bodů bude pořadí nabídek stanoveno losem.</w:t>
      </w:r>
    </w:p>
    <w:p w:rsidR="009C64AE" w:rsidP="009C64AE" w:rsidRDefault="009C64AE">
      <w:pPr>
        <w:pStyle w:val="Nadpis3"/>
      </w:pPr>
      <w:bookmarkStart w:name="_Toc420585453" w:id="19"/>
      <w:r>
        <w:t>Detailní způsob hodnocení dílčích kritérií:</w:t>
      </w:r>
      <w:bookmarkEnd w:id="19"/>
    </w:p>
    <w:p w:rsidRPr="005B13DB" w:rsidR="009C64AE" w:rsidP="009C64AE" w:rsidRDefault="009C64AE">
      <w:pPr>
        <w:pStyle w:val="Nadpis4"/>
      </w:pPr>
      <w:r>
        <w:t>Hodnotící kritérium Nabídková cena</w:t>
      </w:r>
    </w:p>
    <w:p w:rsidR="009C64AE" w:rsidP="007D3215" w:rsidRDefault="009C64AE">
      <w:pPr>
        <w:pStyle w:val="Odstavecseseznamem"/>
        <w:jc w:val="both"/>
      </w:pPr>
      <w:r>
        <w:t>Rozhodující je cena bez DPH. Jednotlivým nabídkám přidělí hodnotící komise body na stupnici od 1 do 100, přičemž nejvyšší počet bodů obdrží nabídka s nejnižší nabídkovou cenou dle vzorce:</w:t>
      </w:r>
    </w:p>
    <w:p w:rsidRPr="005B13DB" w:rsidR="009C64AE" w:rsidP="009C64AE" w:rsidRDefault="009C64AE">
      <w:pPr>
        <w:pStyle w:val="Odstavecseseznamem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100 x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nejvýhodnější nabídka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tzn. nejnižší cena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hodnota</m:t>
                      </m:r>
                    </m:e>
                  </m:d>
                </m:e>
              </m:eqAr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cena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hodnota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hodnocené nabídky</m:t>
                  </m:r>
                </m:e>
              </m:eqArr>
            </m:den>
          </m:f>
          <m:r>
            <w:rPr>
              <w:rFonts w:ascii="Cambria Math" w:hAnsi="Cambria Math"/>
            </w:rPr>
            <m:t xml:space="preserve"> x váha vyjádřená v procentech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</m:oMath>
      </m:oMathPara>
    </w:p>
    <w:p w:rsidRPr="005B13DB" w:rsidR="009C64AE" w:rsidP="009C64AE" w:rsidRDefault="009C64AE">
      <w:pPr>
        <w:pStyle w:val="Odstavecseseznamem"/>
        <w:rPr>
          <w:rFonts w:eastAsiaTheme="minorEastAsia"/>
        </w:rPr>
      </w:pPr>
    </w:p>
    <w:p w:rsidR="009C64AE" w:rsidP="007D3215" w:rsidRDefault="009C64AE">
      <w:pPr>
        <w:pStyle w:val="Odstavecseseznamem"/>
        <w:jc w:val="both"/>
        <w:rPr>
          <w:rFonts w:eastAsiaTheme="minorEastAsia"/>
        </w:rPr>
      </w:pPr>
      <w:r>
        <w:rPr>
          <w:rFonts w:eastAsiaTheme="minorEastAsia"/>
        </w:rPr>
        <w:t>Výsledek bude standardně matematicky zaokrouhlen na jedno desetinné místo. Jako nejvýhodnější nabídka bude hodnocena nejnižší nabídková cena předmětu zakázky bez DPH, která bude zahrnovat veškeré činnosti souv</w:t>
      </w:r>
      <w:r w:rsidR="00C73530">
        <w:rPr>
          <w:rFonts w:eastAsiaTheme="minorEastAsia"/>
        </w:rPr>
        <w:t>isející se zpracováním předmětu</w:t>
      </w:r>
      <w:r>
        <w:rPr>
          <w:rFonts w:eastAsiaTheme="minorEastAsia"/>
        </w:rPr>
        <w:t xml:space="preserve"> zakázky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Nadpis4"/>
        <w:rPr>
          <w:rFonts w:eastAsiaTheme="minorEastAsia"/>
        </w:rPr>
      </w:pPr>
      <w:r>
        <w:rPr>
          <w:rFonts w:eastAsiaTheme="minorEastAsia"/>
        </w:rPr>
        <w:t>Hodnotící kritérium Kvalita a rozsah nabízených služeb</w:t>
      </w:r>
    </w:p>
    <w:p w:rsidR="009C64AE" w:rsidP="007D3215" w:rsidRDefault="009C64AE">
      <w:pPr>
        <w:rPr>
          <w:rFonts w:eastAsiaTheme="minorEastAsia"/>
        </w:rPr>
      </w:pPr>
      <w:r>
        <w:rPr>
          <w:rFonts w:eastAsiaTheme="minorEastAsia"/>
        </w:rPr>
        <w:t xml:space="preserve">V rámci tohoto kritéria </w:t>
      </w:r>
      <w:r w:rsidR="007D3215">
        <w:rPr>
          <w:rFonts w:eastAsiaTheme="minorEastAsia"/>
        </w:rPr>
        <w:t xml:space="preserve">hodnocen rozsah a obsahová náplň školení. </w:t>
      </w:r>
    </w:p>
    <w:p w:rsidR="009C64AE" w:rsidP="00BA5A0A" w:rsidRDefault="009C64AE">
      <w:pPr>
        <w:jc w:val="both"/>
        <w:rPr>
          <w:rFonts w:eastAsiaTheme="minorEastAsia"/>
        </w:rPr>
      </w:pPr>
      <w:r>
        <w:rPr>
          <w:rFonts w:eastAsiaTheme="minorEastAsia"/>
        </w:rPr>
        <w:t>Nabídka, která bude nejlépe splňovat požadavky zadavatele</w:t>
      </w:r>
      <w:r w:rsidR="004C5303">
        <w:rPr>
          <w:rFonts w:eastAsiaTheme="minorEastAsia"/>
        </w:rPr>
        <w:t>,</w:t>
      </w:r>
      <w:r>
        <w:rPr>
          <w:rFonts w:eastAsiaTheme="minorEastAsia"/>
        </w:rPr>
        <w:t xml:space="preserve"> získá v rámci kritéria 100 bodů. Ostatním nabídkám bude přiřazeno takové bodové ohodnocení, které vyjadřuje míru splnění tohoto </w:t>
      </w:r>
      <w:r w:rsidR="007D3215">
        <w:rPr>
          <w:rFonts w:eastAsiaTheme="minorEastAsia"/>
        </w:rPr>
        <w:t>k</w:t>
      </w:r>
      <w:r>
        <w:rPr>
          <w:rFonts w:eastAsiaTheme="minorEastAsia"/>
        </w:rPr>
        <w:t>ritéria ve vztahu k této nabídce.</w:t>
      </w:r>
    </w:p>
    <w:p w:rsidRPr="009F5D97" w:rsidR="009C64AE" w:rsidP="009C64AE" w:rsidRDefault="009C64AE">
      <w:pPr>
        <w:rPr>
          <w:rFonts w:eastAsiaTheme="minorEastAsia"/>
          <w:i/>
          <w:u w:val="single"/>
        </w:rPr>
      </w:pPr>
      <w:r w:rsidRPr="009F5D97">
        <w:rPr>
          <w:rFonts w:eastAsiaTheme="minorEastAsia"/>
          <w:i/>
          <w:u w:val="single"/>
        </w:rPr>
        <w:lastRenderedPageBreak/>
        <w:t xml:space="preserve">Toto kritérium není možné přímo </w:t>
      </w:r>
      <w:r w:rsidRPr="009F5D97" w:rsidR="00BA5A0A">
        <w:rPr>
          <w:rFonts w:eastAsiaTheme="minorEastAsia"/>
          <w:i/>
          <w:u w:val="single"/>
        </w:rPr>
        <w:t>kvantifikovat, a proto</w:t>
      </w:r>
      <w:r w:rsidRPr="009F5D97">
        <w:rPr>
          <w:rFonts w:eastAsiaTheme="minorEastAsia"/>
          <w:i/>
          <w:u w:val="single"/>
        </w:rPr>
        <w:t xml:space="preserve"> se bude postupovat následujícím způsobem:</w:t>
      </w:r>
    </w:p>
    <w:p w:rsidR="009C64AE" w:rsidP="00BA5A0A" w:rsidRDefault="00BA5A0A">
      <w:pPr>
        <w:pStyle w:val="Odstavecseseznamem"/>
        <w:numPr>
          <w:ilvl w:val="0"/>
          <w:numId w:val="10"/>
        </w:numPr>
        <w:jc w:val="both"/>
        <w:rPr>
          <w:rFonts w:eastAsiaTheme="minorEastAsia"/>
        </w:rPr>
      </w:pPr>
      <w:r>
        <w:rPr>
          <w:rFonts w:eastAsiaTheme="minorEastAsia"/>
        </w:rPr>
        <w:t>K</w:t>
      </w:r>
      <w:r w:rsidR="009C64AE">
        <w:rPr>
          <w:rFonts w:eastAsiaTheme="minorEastAsia"/>
        </w:rPr>
        <w:t>ritéri</w:t>
      </w:r>
      <w:r>
        <w:rPr>
          <w:rFonts w:eastAsiaTheme="minorEastAsia"/>
        </w:rPr>
        <w:t>um</w:t>
      </w:r>
      <w:r w:rsidR="00B847FE">
        <w:rPr>
          <w:rFonts w:eastAsiaTheme="minorEastAsia"/>
        </w:rPr>
        <w:t xml:space="preserve"> bud</w:t>
      </w:r>
      <w:r>
        <w:rPr>
          <w:rFonts w:eastAsiaTheme="minorEastAsia"/>
        </w:rPr>
        <w:t>e</w:t>
      </w:r>
      <w:r w:rsidR="00B847FE">
        <w:rPr>
          <w:rFonts w:eastAsiaTheme="minorEastAsia"/>
        </w:rPr>
        <w:t xml:space="preserve"> ohodnocen</w:t>
      </w:r>
      <w:r>
        <w:rPr>
          <w:rFonts w:eastAsiaTheme="minorEastAsia"/>
        </w:rPr>
        <w:t>o</w:t>
      </w:r>
      <w:r w:rsidR="00B847FE">
        <w:rPr>
          <w:rFonts w:eastAsiaTheme="minorEastAsia"/>
        </w:rPr>
        <w:t xml:space="preserve"> od 1</w:t>
      </w:r>
      <w:r w:rsidR="009C64AE">
        <w:rPr>
          <w:rFonts w:eastAsiaTheme="minorEastAsia"/>
        </w:rPr>
        <w:t xml:space="preserve"> do 100bodů. Tyto body budou vynásobeny příslušnou vahou daného kritéria.</w:t>
      </w:r>
    </w:p>
    <w:p w:rsidR="009C64AE" w:rsidP="00BA5A0A" w:rsidRDefault="009C64AE">
      <w:pPr>
        <w:pStyle w:val="Odstavecseseznamem"/>
        <w:numPr>
          <w:ilvl w:val="0"/>
          <w:numId w:val="10"/>
        </w:numPr>
        <w:jc w:val="both"/>
        <w:rPr>
          <w:rFonts w:eastAsiaTheme="minorEastAsia"/>
        </w:rPr>
      </w:pPr>
      <w:r>
        <w:rPr>
          <w:rFonts w:eastAsiaTheme="minorEastAsia"/>
        </w:rPr>
        <w:t>Výsledná počet bodů se vynásobí příslušnou vahou daného hodnotícího kritéria.</w:t>
      </w:r>
    </w:p>
    <w:p w:rsidR="009C64AE" w:rsidP="00BA5A0A" w:rsidRDefault="009C64A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Na základě součtu výsledných hodnot všech dílčích hodnotících kritérií u jednotlivých nabídek bude stanoveno pořadí úspěšnosti jednotlivých nabídek tak, že jako nejúspěšnější bude stanovena nabídka, která dosáhla nejvyšší hodnoty. </w:t>
      </w:r>
    </w:p>
    <w:p w:rsidR="009C64AE" w:rsidP="009C64AE" w:rsidRDefault="009C64AE">
      <w:pPr>
        <w:pStyle w:val="Nadpis1"/>
        <w:rPr>
          <w:rFonts w:eastAsiaTheme="minorEastAsia"/>
        </w:rPr>
      </w:pPr>
      <w:bookmarkStart w:name="_Toc420585454" w:id="20"/>
      <w:r>
        <w:rPr>
          <w:rFonts w:eastAsiaTheme="minorEastAsia"/>
        </w:rPr>
        <w:t>Podání nabídek</w:t>
      </w:r>
      <w:bookmarkEnd w:id="20"/>
    </w:p>
    <w:p w:rsidR="009C64AE" w:rsidP="009C64AE" w:rsidRDefault="009C64AE">
      <w:pPr>
        <w:pStyle w:val="Nadpis2"/>
      </w:pPr>
      <w:bookmarkStart w:name="_Toc420585455" w:id="21"/>
      <w:r>
        <w:t>Lhůta pro podání nabídek</w:t>
      </w:r>
      <w:bookmarkEnd w:id="21"/>
    </w:p>
    <w:p w:rsidR="009C64AE" w:rsidP="00BA5A0A" w:rsidRDefault="009C64AE">
      <w:pPr>
        <w:jc w:val="both"/>
      </w:pPr>
      <w:r>
        <w:t xml:space="preserve">Lhůtou pro podání nabídek se rozumí lhůta, ve které lze nabídky podávat a která je uvedena ve Výzvě k podání nabídky. </w:t>
      </w:r>
    </w:p>
    <w:p w:rsidR="009C64AE" w:rsidP="00BA5A0A" w:rsidRDefault="009C64AE">
      <w:pPr>
        <w:jc w:val="both"/>
      </w:pPr>
      <w:r>
        <w:t>Nabídka je doručena včas, pokud je v rámci lhůty pro podání nabídek doručena do místa pro podání nabídek.</w:t>
      </w:r>
    </w:p>
    <w:p w:rsidR="009C64AE" w:rsidP="00BA5A0A" w:rsidRDefault="009C64AE">
      <w:pPr>
        <w:jc w:val="both"/>
      </w:pPr>
      <w:r>
        <w:t>Nabídky podané po uplynutí lhůty pro podání nabídek nebudou otevřeny a zadavatel takového uchazeče bezodkladně vyrozumí o tom, že jeho nabídka byla podána po uplynutí lhůty pro podání nabídek.</w:t>
      </w:r>
    </w:p>
    <w:p w:rsidR="009C64AE" w:rsidP="009C64AE" w:rsidRDefault="009C64AE">
      <w:pPr>
        <w:pStyle w:val="Nadpis2"/>
      </w:pPr>
      <w:bookmarkStart w:name="_Toc420585456" w:id="22"/>
      <w:r>
        <w:t>Místo pro podání nabídek</w:t>
      </w:r>
      <w:bookmarkEnd w:id="22"/>
    </w:p>
    <w:p w:rsidR="009C64AE" w:rsidP="009C64AE" w:rsidRDefault="009C64AE">
      <w:r>
        <w:t xml:space="preserve">Místo pro podání nabídek je </w:t>
      </w:r>
      <w:r w:rsidR="00E074E4">
        <w:t xml:space="preserve">sídlo zadavatele: </w:t>
      </w:r>
      <w:r w:rsidRPr="00E074E4" w:rsidR="00E074E4">
        <w:t>Pražská 104, Jindřichův Hradec, 377 01.</w:t>
      </w:r>
    </w:p>
    <w:p w:rsidR="009C64AE" w:rsidP="009C64AE" w:rsidRDefault="009C64AE">
      <w:pPr>
        <w:pStyle w:val="Nadpis2"/>
      </w:pPr>
      <w:bookmarkStart w:name="_Toc420585457" w:id="23"/>
      <w:r>
        <w:t>Změny a odvolání nabídky, zadávací lhůta</w:t>
      </w:r>
      <w:bookmarkEnd w:id="23"/>
    </w:p>
    <w:p w:rsidR="009C64AE" w:rsidP="00BA5A0A" w:rsidRDefault="009C64AE">
      <w:pPr>
        <w:pStyle w:val="Odstavecseseznamem"/>
        <w:numPr>
          <w:ilvl w:val="0"/>
          <w:numId w:val="11"/>
        </w:numPr>
        <w:jc w:val="both"/>
      </w:pPr>
      <w:r>
        <w:t>Předloženou nabídku lze odvolat, měnit nebo doplňovat pouze do konce lhůty pro podání nabídek. Poté začíná běžet zadávací lhůta, po kterou jsou uchazeči svými nabídkami vázání. V této lhůtě již nelze nabídku měnit.</w:t>
      </w:r>
    </w:p>
    <w:p w:rsidRPr="00CF5710" w:rsidR="009C64AE" w:rsidP="00BA5A0A" w:rsidRDefault="009C64AE">
      <w:pPr>
        <w:pStyle w:val="Odstavecseseznamem"/>
        <w:jc w:val="both"/>
        <w:rPr>
          <w:u w:val="single"/>
        </w:rPr>
      </w:pPr>
      <w:r w:rsidRPr="00CF5710">
        <w:rPr>
          <w:u w:val="single"/>
        </w:rPr>
        <w:t>Dodavatel je</w:t>
      </w:r>
      <w:r w:rsidR="00BA5A0A">
        <w:rPr>
          <w:u w:val="single"/>
        </w:rPr>
        <w:t xml:space="preserve"> vázán svou nabídkou minimálně 92</w:t>
      </w:r>
      <w:r w:rsidRPr="00CF5710">
        <w:rPr>
          <w:u w:val="single"/>
        </w:rPr>
        <w:t xml:space="preserve"> dnů.</w:t>
      </w:r>
    </w:p>
    <w:p w:rsidR="009C64AE" w:rsidP="00BA5A0A" w:rsidRDefault="009C64AE">
      <w:pPr>
        <w:pStyle w:val="Odstavecseseznamem"/>
        <w:numPr>
          <w:ilvl w:val="0"/>
          <w:numId w:val="11"/>
        </w:numPr>
        <w:jc w:val="both"/>
      </w:pPr>
      <w:r>
        <w:t xml:space="preserve">Zadávací lhůta začíná běžet okamžikem skončení lhůty pro podání nabídek a končí dnem doručení oznámení zadavatele o výběru nejvhodnější nabídky. </w:t>
      </w:r>
    </w:p>
    <w:p w:rsidR="009C64AE" w:rsidP="00BA5A0A" w:rsidRDefault="009C64AE">
      <w:pPr>
        <w:pStyle w:val="Odstavecseseznamem"/>
        <w:numPr>
          <w:ilvl w:val="0"/>
          <w:numId w:val="11"/>
        </w:numPr>
        <w:jc w:val="both"/>
      </w:pPr>
      <w:r>
        <w:t xml:space="preserve">Zadávací lhůta se prodlužuje uchazečům, s nimiž může zadavatel uzavřít smlouvu, až do doby uzavření smlouvy nebo do zrušení zadávacího řízení. Jsou-li podány námitky, zadávací lhůta neběží. Konec zadávací lhůty stanovený podle odstavce 2 datem se posouvá o dobu, kdy zadávací lhůta neběží. Běh zadávací lhůty pokračuje dnem doručení rozhodnutí zadavatele o námitkách dodavateli. </w:t>
      </w:r>
    </w:p>
    <w:p w:rsidR="00DB1177" w:rsidP="00DB1177" w:rsidRDefault="00DB1177">
      <w:pPr>
        <w:pStyle w:val="Odstavecseseznamem"/>
        <w:jc w:val="both"/>
      </w:pPr>
    </w:p>
    <w:p w:rsidRPr="009F5D97" w:rsidR="009C64AE" w:rsidP="009C64AE" w:rsidRDefault="009C64AE">
      <w:pPr>
        <w:pStyle w:val="Nadpis1"/>
      </w:pPr>
      <w:bookmarkStart w:name="_Toc420585458" w:id="24"/>
      <w:r>
        <w:lastRenderedPageBreak/>
        <w:t>Práva zadavatele</w:t>
      </w:r>
      <w:bookmarkEnd w:id="24"/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>Zadavatel si dále vyhrazuje: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Právo nevracet podané nabídky.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Zadavatel vylučuje možnost variantních nabídek</w:t>
      </w:r>
      <w:r w:rsidR="00C73530">
        <w:rPr>
          <w:rFonts w:eastAsiaTheme="minorEastAsia"/>
        </w:rPr>
        <w:t>.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Zadavatel si vyhrazuje právo vyžádat od uchazeče písemné zdůvodnění případné mimořádně nízké nabídkové ceny</w:t>
      </w:r>
      <w:r w:rsidR="00C73530">
        <w:rPr>
          <w:rFonts w:eastAsiaTheme="minorEastAsia"/>
        </w:rPr>
        <w:t>.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Neposkytovat náhradu jakýchkoliv nákladů či výdajů, které uchazeči vynaloží na účast v zadávacím řízení</w:t>
      </w:r>
      <w:r w:rsidR="00C73530">
        <w:rPr>
          <w:rFonts w:eastAsiaTheme="minorEastAsia"/>
        </w:rPr>
        <w:t>.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Zadavatel si vyhrazuje právo neuzavřít smlouvu v případě, že nebudou zajištěny potřebné finanční zdroje.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Zadavatel si vyhrazuje právo změny, upřesnění či doplnění zadávací dokumentace.</w:t>
      </w:r>
    </w:p>
    <w:p w:rsidRPr="00CF5710" w:rsidR="009C64AE" w:rsidP="009C64AE" w:rsidRDefault="009C64AE">
      <w:pPr>
        <w:pStyle w:val="Nadpis1"/>
        <w:rPr>
          <w:rFonts w:eastAsiaTheme="minorEastAsia"/>
        </w:rPr>
      </w:pPr>
      <w:bookmarkStart w:name="_Toc420585459" w:id="25"/>
      <w:r>
        <w:rPr>
          <w:rFonts w:eastAsiaTheme="minorEastAsia"/>
        </w:rPr>
        <w:t>Ochrana důvěrných informací uchazečů</w:t>
      </w:r>
      <w:bookmarkEnd w:id="25"/>
    </w:p>
    <w:p w:rsidR="009C64AE" w:rsidP="002B40E7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Zadavatel se zavazuje, že nezveřejní informace, které mu budou poskytnuty dodavatelem v nabídce nebo jiných písemnostech a které by byly dodavatelem označeny za důvěrné</w:t>
      </w:r>
      <w:r w:rsidR="00C73530">
        <w:rPr>
          <w:rFonts w:eastAsiaTheme="minorEastAsia"/>
        </w:rPr>
        <w:t>.</w:t>
      </w:r>
    </w:p>
    <w:p w:rsidR="009C64AE" w:rsidP="002B40E7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 důvěrnou informaci může dodavatel považovat zejména obchodní tajemství, důvěrná hlediska nabídek.</w:t>
      </w:r>
    </w:p>
    <w:p w:rsidR="009C64AE" w:rsidP="002B40E7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Pokud bude dodavatel považovat některou informaci za důvěrnou, označí ji jednoznačně jako důvěrnou.</w:t>
      </w:r>
    </w:p>
    <w:p w:rsidR="009C64AE" w:rsidP="002B40E7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Dodavatel je povinen zdržet se veškerých jednání, která by mohla být považována za diskriminační a narušit tak transparentnost průběhu zadávacího řízení, zejména pak jednání, v jejichž důsledku by mohlo dojít k narušení soutěže mezi dodavateli v rámci zadání veřejné zakázky.</w:t>
      </w:r>
    </w:p>
    <w:p w:rsidR="009C64AE" w:rsidP="009C64AE" w:rsidRDefault="009C64AE">
      <w:pPr>
        <w:pStyle w:val="Nadpis1"/>
        <w:rPr>
          <w:rFonts w:eastAsiaTheme="minorEastAsia"/>
        </w:rPr>
      </w:pPr>
      <w:bookmarkStart w:name="_Toc420585460" w:id="26"/>
      <w:r>
        <w:rPr>
          <w:rFonts w:eastAsiaTheme="minorEastAsia"/>
        </w:rPr>
        <w:t>Výsledek zadávacího řízení</w:t>
      </w:r>
      <w:bookmarkEnd w:id="26"/>
    </w:p>
    <w:p w:rsidR="009C64AE" w:rsidP="002B40E7" w:rsidRDefault="009C64AE">
      <w:pPr>
        <w:jc w:val="both"/>
      </w:pPr>
      <w:r>
        <w:t>O výsledku zadávacího řízení budou všichni d</w:t>
      </w:r>
      <w:r w:rsidR="00C73530">
        <w:t>odavatelé, kteří podali nabídku</w:t>
      </w:r>
      <w:r>
        <w:t xml:space="preserve"> ve lhůtě pro podání nabídek a kteří nebyli vyřazeni z další účasti v zadávacím řízení, informováni bezprostředně po vyhodnocení nejvhodnější nabídky. Oznámení výsledku zadávacího řízení bude dodavatelům sděleno formou Oznámení o výsledku zadávacího řízení.</w:t>
      </w:r>
    </w:p>
    <w:p w:rsidRPr="00E1392A" w:rsidR="009C64AE" w:rsidP="009C64AE" w:rsidRDefault="009C64AE"/>
    <w:p w:rsidR="00DD6F42" w:rsidRDefault="00DD6F42"/>
    <w:sectPr w:rsidR="00DD6F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B76B8" w:rsidP="009C64AE" w:rsidRDefault="009B76B8">
      <w:pPr>
        <w:spacing w:after="0" w:line="240" w:lineRule="auto"/>
      </w:pPr>
      <w:r>
        <w:separator/>
      </w:r>
    </w:p>
  </w:endnote>
  <w:endnote w:type="continuationSeparator" w:id="0">
    <w:p w:rsidR="009B76B8" w:rsidP="009C64AE" w:rsidRDefault="009B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2042394575"/>
      <w:docPartObj>
        <w:docPartGallery w:val="Page Numbers (Bottom of Page)"/>
        <w:docPartUnique/>
      </w:docPartObj>
    </w:sdtPr>
    <w:sdtEndPr/>
    <w:sdtContent>
      <w:p w:rsidR="003B4930" w:rsidRDefault="003B49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306">
          <w:rPr>
            <w:noProof/>
          </w:rPr>
          <w:t>8</w:t>
        </w:r>
        <w:r>
          <w:fldChar w:fldCharType="end"/>
        </w:r>
        <w:r>
          <w:t>/9</w:t>
        </w:r>
      </w:p>
    </w:sdtContent>
  </w:sdt>
  <w:p w:rsidR="003B4930" w:rsidRDefault="003B493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B76B8" w:rsidP="009C64AE" w:rsidRDefault="009B76B8">
      <w:pPr>
        <w:spacing w:after="0" w:line="240" w:lineRule="auto"/>
      </w:pPr>
      <w:r>
        <w:separator/>
      </w:r>
    </w:p>
  </w:footnote>
  <w:footnote w:type="continuationSeparator" w:id="0">
    <w:p w:rsidR="009B76B8" w:rsidP="009C64AE" w:rsidRDefault="009B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B4930" w:rsidRDefault="003B4930">
    <w:pPr>
      <w:pStyle w:val="Zhlav"/>
    </w:pPr>
    <w:r>
      <w:rPr>
        <w:noProof/>
        <w:lang w:eastAsia="cs-CZ"/>
      </w:rPr>
      <w:drawing>
        <wp:inline distT="0" distB="0" distL="0" distR="0">
          <wp:extent cx="5724525" cy="514350"/>
          <wp:effectExtent l="0" t="0" r="9525" b="0"/>
          <wp:docPr id="7" name="obrázek 3"/>
          <wp:cNvGraphicFramePr/>
          <a:graphic>
            <a:graphicData uri="http://schemas.openxmlformats.org/drawingml/2006/picture">
              <pic:pic>
                <pic:nvPicPr>
                  <pic:cNvPr id="7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4930" w:rsidRDefault="003B493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8B66464"/>
    <w:multiLevelType w:val="hybridMultilevel"/>
    <w:tmpl w:val="CC126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34ED9"/>
    <w:multiLevelType w:val="hybridMultilevel"/>
    <w:tmpl w:val="3B127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451D"/>
    <w:multiLevelType w:val="multilevel"/>
    <w:tmpl w:val="CA5A651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77A2D7A"/>
    <w:multiLevelType w:val="hybridMultilevel"/>
    <w:tmpl w:val="194E4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60D43"/>
    <w:multiLevelType w:val="hybridMultilevel"/>
    <w:tmpl w:val="1A08F082"/>
    <w:lvl w:ilvl="0" w:tplc="2BC0C9B8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34445276"/>
    <w:multiLevelType w:val="hybridMultilevel"/>
    <w:tmpl w:val="6FB4D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71D3C"/>
    <w:multiLevelType w:val="hybridMultilevel"/>
    <w:tmpl w:val="08C492A8"/>
    <w:lvl w:ilvl="0" w:tplc="A7CE2D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E36C5"/>
    <w:multiLevelType w:val="hybridMultilevel"/>
    <w:tmpl w:val="10669FCE"/>
    <w:lvl w:ilvl="0" w:tplc="D1DC739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0F63E44"/>
    <w:multiLevelType w:val="hybridMultilevel"/>
    <w:tmpl w:val="DAF0E7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85744D9"/>
    <w:multiLevelType w:val="hybridMultilevel"/>
    <w:tmpl w:val="E2684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83CD2"/>
    <w:multiLevelType w:val="hybridMultilevel"/>
    <w:tmpl w:val="D02826E8"/>
    <w:lvl w:ilvl="0" w:tplc="95BA94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96E6A"/>
    <w:multiLevelType w:val="hybridMultilevel"/>
    <w:tmpl w:val="8076BB34"/>
    <w:lvl w:ilvl="0" w:tplc="936E5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62C4B"/>
    <w:multiLevelType w:val="hybridMultilevel"/>
    <w:tmpl w:val="0902E1AE"/>
    <w:lvl w:ilvl="0" w:tplc="2BC0C9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FEB272E"/>
    <w:multiLevelType w:val="hybridMultilevel"/>
    <w:tmpl w:val="3D14750E"/>
    <w:lvl w:ilvl="0" w:tplc="03BCA9EC">
      <w:start w:val="33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0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AE"/>
    <w:rsid w:val="000625EF"/>
    <w:rsid w:val="00093483"/>
    <w:rsid w:val="001F0330"/>
    <w:rsid w:val="001F4DEC"/>
    <w:rsid w:val="00296306"/>
    <w:rsid w:val="002B40E7"/>
    <w:rsid w:val="002B762A"/>
    <w:rsid w:val="002C237E"/>
    <w:rsid w:val="00314BD7"/>
    <w:rsid w:val="003B4930"/>
    <w:rsid w:val="003E00EC"/>
    <w:rsid w:val="00402115"/>
    <w:rsid w:val="00444A23"/>
    <w:rsid w:val="00484DED"/>
    <w:rsid w:val="004C5303"/>
    <w:rsid w:val="00511412"/>
    <w:rsid w:val="005A26D1"/>
    <w:rsid w:val="005C3D3C"/>
    <w:rsid w:val="00633C9A"/>
    <w:rsid w:val="00664E06"/>
    <w:rsid w:val="00687324"/>
    <w:rsid w:val="006D31AE"/>
    <w:rsid w:val="00766349"/>
    <w:rsid w:val="0078071E"/>
    <w:rsid w:val="007B2331"/>
    <w:rsid w:val="007D3215"/>
    <w:rsid w:val="008168D8"/>
    <w:rsid w:val="0082165E"/>
    <w:rsid w:val="00844717"/>
    <w:rsid w:val="008809B5"/>
    <w:rsid w:val="00905B94"/>
    <w:rsid w:val="0091527B"/>
    <w:rsid w:val="00972B56"/>
    <w:rsid w:val="009B76B8"/>
    <w:rsid w:val="009C64AE"/>
    <w:rsid w:val="009F6373"/>
    <w:rsid w:val="00A010AB"/>
    <w:rsid w:val="00A20A0B"/>
    <w:rsid w:val="00A81EA3"/>
    <w:rsid w:val="00AC359D"/>
    <w:rsid w:val="00AE495A"/>
    <w:rsid w:val="00B678E1"/>
    <w:rsid w:val="00B847FE"/>
    <w:rsid w:val="00BA5A0A"/>
    <w:rsid w:val="00BD10EB"/>
    <w:rsid w:val="00C164DF"/>
    <w:rsid w:val="00C2090E"/>
    <w:rsid w:val="00C40E88"/>
    <w:rsid w:val="00C73530"/>
    <w:rsid w:val="00C73AA7"/>
    <w:rsid w:val="00D8313B"/>
    <w:rsid w:val="00DB1177"/>
    <w:rsid w:val="00DB60B5"/>
    <w:rsid w:val="00DC2BB5"/>
    <w:rsid w:val="00DD6F42"/>
    <w:rsid w:val="00DD7D64"/>
    <w:rsid w:val="00E074E4"/>
    <w:rsid w:val="00E814B4"/>
    <w:rsid w:val="00F14303"/>
    <w:rsid w:val="00F9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242AD5C7-3CDC-449E-85C4-BFCF7955AEF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C64AE"/>
  </w:style>
  <w:style w:type="paragraph" w:styleId="Nadpis1">
    <w:name w:val="heading 1"/>
    <w:basedOn w:val="Normln"/>
    <w:next w:val="Normln"/>
    <w:link w:val="Nadpis1Char"/>
    <w:uiPriority w:val="9"/>
    <w:qFormat/>
    <w:rsid w:val="009C64AE"/>
    <w:pPr>
      <w:keepNext/>
      <w:keepLines/>
      <w:numPr>
        <w:numId w:val="1"/>
      </w:numPr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C64AE"/>
    <w:pPr>
      <w:numPr>
        <w:ilvl w:val="1"/>
      </w:numPr>
      <w:ind w:left="426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64AE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C64AE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64A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C64AE"/>
  </w:style>
  <w:style w:type="paragraph" w:styleId="Zpat">
    <w:name w:val="footer"/>
    <w:basedOn w:val="Normln"/>
    <w:link w:val="ZpatChar"/>
    <w:uiPriority w:val="99"/>
    <w:unhideWhenUsed/>
    <w:rsid w:val="009C64A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C64AE"/>
  </w:style>
  <w:style w:type="paragraph" w:styleId="Textbubliny">
    <w:name w:val="Balloon Text"/>
    <w:basedOn w:val="Normln"/>
    <w:link w:val="TextbublinyChar"/>
    <w:uiPriority w:val="99"/>
    <w:semiHidden/>
    <w:unhideWhenUsed/>
    <w:rsid w:val="009C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C64AE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C64A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9C64A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rsid w:val="009C64AE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Nadpis4Char" w:customStyle="true">
    <w:name w:val="Nadpis 4 Char"/>
    <w:basedOn w:val="Standardnpsmoodstavce"/>
    <w:link w:val="Nadpis4"/>
    <w:uiPriority w:val="9"/>
    <w:rsid w:val="009C64AE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9C64A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9C64A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64AE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9C64A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C64AE"/>
    <w:pPr>
      <w:spacing w:after="100"/>
      <w:ind w:left="440"/>
    </w:pPr>
  </w:style>
  <w:style w:type="paragraph" w:styleId="Npovda" w:customStyle="true">
    <w:name w:val="Nápověda"/>
    <w:basedOn w:val="Normln"/>
    <w:rsid w:val="00DD7D64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4930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F96543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://www.esfcr.cz/folder/4628/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716D840-A5DE-4B62-8906-AD4DEC6907D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9</properties:Pages>
  <properties:Words>2521</properties:Words>
  <properties:Characters>14875</properties:Characters>
  <properties:Lines>123</properties:Lines>
  <properties:Paragraphs>34</properties:Paragraphs>
  <properties:TotalTime>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17362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2015-05-27T14:08:00Z</dcterms:created>
  <dc:creator/>
  <cp:lastModifiedBy/>
  <cp:lastPrinted>2014-07-29T11:13:00Z</cp:lastPrinted>
  <dcterms:modified xmlns:xsi="http://www.w3.org/2001/XMLSchema-instance" xsi:type="dcterms:W3CDTF">2015-05-28T12:19:00Z</dcterms:modified>
  <cp:revision>5</cp:revision>
</cp:coreProperties>
</file>