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04E6E" w:rsidR="009232AC" w:rsidP="003C2610" w:rsidRDefault="0095491C">
      <w:pPr>
        <w:pStyle w:val="Normln-Odstavec"/>
        <w:numPr>
          <w:ilvl w:val="0"/>
          <w:numId w:val="0"/>
        </w:numPr>
        <w:rPr>
          <w:rFonts w:ascii="Calibri" w:hAnsi="Calibri" w:eastAsia="DejaVu Sans" w:cs="Calibri"/>
          <w:b/>
          <w:kern w:val="1"/>
          <w:sz w:val="20"/>
          <w:szCs w:val="20"/>
          <w:lang w:val="cs-CZ"/>
        </w:rPr>
      </w:pPr>
      <w:r w:rsidRPr="0095491C">
        <w:rPr>
          <w:rFonts w:ascii="Calibri" w:hAnsi="Calibri" w:eastAsia="DejaVu Sans" w:cs="Calibri"/>
          <w:b/>
          <w:kern w:val="1"/>
          <w:sz w:val="20"/>
          <w:szCs w:val="20"/>
          <w:lang w:val="cs-CZ"/>
        </w:rPr>
        <w:t xml:space="preserve">Příloha 1: </w:t>
      </w:r>
      <w:r w:rsidRPr="00504E6E" w:rsidR="009232AC">
        <w:rPr>
          <w:rFonts w:ascii="Calibri" w:hAnsi="Calibri" w:eastAsia="DejaVu Sans" w:cs="Calibri"/>
          <w:b/>
          <w:kern w:val="1"/>
          <w:sz w:val="20"/>
          <w:szCs w:val="20"/>
          <w:lang w:val="cs-CZ"/>
        </w:rPr>
        <w:t xml:space="preserve">Technická specifikace pro část </w:t>
      </w:r>
      <w:r w:rsidR="004E684C">
        <w:rPr>
          <w:rFonts w:ascii="Calibri" w:hAnsi="Calibri" w:eastAsia="DejaVu Sans" w:cs="Calibri"/>
          <w:b/>
          <w:kern w:val="1"/>
          <w:sz w:val="20"/>
          <w:szCs w:val="20"/>
          <w:lang w:val="cs-CZ"/>
        </w:rPr>
        <w:t>1</w:t>
      </w:r>
      <w:r w:rsidRPr="00504E6E" w:rsidR="009232AC">
        <w:rPr>
          <w:rFonts w:ascii="Calibri" w:hAnsi="Calibri" w:eastAsia="DejaVu Sans" w:cs="Calibri"/>
          <w:b/>
          <w:kern w:val="1"/>
          <w:sz w:val="20"/>
          <w:szCs w:val="20"/>
          <w:lang w:val="cs-CZ"/>
        </w:rPr>
        <w:t xml:space="preserve"> – Portál občana</w:t>
      </w:r>
      <w:r w:rsidR="00004CD0">
        <w:rPr>
          <w:rFonts w:ascii="Calibri" w:hAnsi="Calibri" w:eastAsia="DejaVu Sans" w:cs="Calibri"/>
          <w:b/>
          <w:kern w:val="1"/>
          <w:sz w:val="20"/>
          <w:szCs w:val="20"/>
          <w:lang w:val="cs-CZ"/>
        </w:rPr>
        <w:t xml:space="preserve"> (Příloha č. 1 smlouvy</w:t>
      </w:r>
      <w:r w:rsidR="0090210D">
        <w:rPr>
          <w:rFonts w:ascii="Calibri" w:hAnsi="Calibri" w:eastAsia="DejaVu Sans" w:cs="Calibri"/>
          <w:b/>
          <w:kern w:val="1"/>
          <w:sz w:val="20"/>
          <w:szCs w:val="20"/>
          <w:lang w:val="cs-CZ"/>
        </w:rPr>
        <w:t xml:space="preserve"> o dílo</w:t>
      </w:r>
      <w:r w:rsidR="00004CD0">
        <w:rPr>
          <w:rFonts w:ascii="Calibri" w:hAnsi="Calibri" w:eastAsia="DejaVu Sans" w:cs="Calibri"/>
          <w:b/>
          <w:kern w:val="1"/>
          <w:sz w:val="20"/>
          <w:szCs w:val="20"/>
          <w:lang w:val="cs-CZ"/>
        </w:rPr>
        <w:t>)</w:t>
      </w:r>
    </w:p>
    <w:tbl>
      <w:tblPr>
        <w:tblW w:w="10760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lastRow="0" w:firstColumn="0" w:lastColumn="0" w:noHBand="0" w:noVBand="0" w:val="0000"/>
      </w:tblPr>
      <w:tblGrid>
        <w:gridCol w:w="511"/>
        <w:gridCol w:w="10249"/>
      </w:tblGrid>
      <w:tr w:rsidRPr="004F29F1" w:rsidR="009232AC" w:rsidTr="0075285B">
        <w:tc>
          <w:tcPr>
            <w:tcW w:w="10760" w:type="dxa"/>
            <w:gridSpan w:val="2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C6D9F1"/>
          </w:tcPr>
          <w:p w:rsidRPr="004F29F1" w:rsidR="009232AC" w:rsidP="0075285B" w:rsidRDefault="009232AC">
            <w:pPr>
              <w:pStyle w:val="Nadpistabulky"/>
              <w:pBdr>
                <w:right w:val="single" w:color="auto" w:sz="4" w:space="1"/>
              </w:pBdr>
              <w:jc w:val="left"/>
              <w:rPr>
                <w:b w:val="false"/>
              </w:rPr>
            </w:pPr>
            <w:r>
              <w:t xml:space="preserve">Portál občana </w:t>
            </w:r>
            <w:r w:rsidR="001C7AE3">
              <w:t>–</w:t>
            </w:r>
            <w:r>
              <w:t xml:space="preserve"> </w:t>
            </w:r>
            <w:r w:rsidR="001C7AE3">
              <w:t>Obecné požadavky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F2F2F2"/>
          </w:tcPr>
          <w:p w:rsidRPr="004F29F1" w:rsidR="0075285B" w:rsidP="0075285B" w:rsidRDefault="0075285B">
            <w:pPr>
              <w:pStyle w:val="Nadpistabulky"/>
              <w:pBdr>
                <w:right w:val="single" w:color="auto" w:sz="4" w:space="1"/>
              </w:pBdr>
            </w:pP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F2F2F2"/>
          </w:tcPr>
          <w:p w:rsidRPr="004F29F1" w:rsidR="0075285B" w:rsidP="0075285B" w:rsidRDefault="0075285B">
            <w:pPr>
              <w:pStyle w:val="Nadpistabulky"/>
              <w:pBdr>
                <w:right w:val="single" w:color="auto" w:sz="4" w:space="1"/>
              </w:pBdr>
            </w:pPr>
            <w:r w:rsidRPr="004F29F1">
              <w:t>Popis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Stránky 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portálu občana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musí umožnit alespoň částečný adaptabilní vzhled tj. aplikaci grafických konstant zadavatele – loga, nebo </w:t>
            </w:r>
            <w:proofErr w:type="gramStart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znaku a  fotografií</w:t>
            </w:r>
            <w:proofErr w:type="gramEnd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a barev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Řešení portálu občana musí být technologicky provedené tak, aby umožnili responzivní design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FA0717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  <w:rPr>
                <w:lang w:val="en-GB"/>
              </w:rPr>
            </w:pPr>
            <w:r>
              <w:t>3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8F4B92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8F4B9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Celkové řešení musí splňovat Obecné nařízení o ochraně osobních </w:t>
            </w:r>
            <w:proofErr w:type="gramStart"/>
            <w:r w:rsidRPr="008F4B92">
              <w:rPr>
                <w:rFonts w:ascii="Calibri" w:hAnsi="Calibri" w:cs="Calibri"/>
                <w:bCs/>
                <w:color w:val="000000" w:themeColor="text1"/>
                <w:sz w:val="20"/>
              </w:rPr>
              <w:t>údajů  resp.</w:t>
            </w:r>
            <w:proofErr w:type="gramEnd"/>
            <w:r w:rsidRPr="008F4B9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GDPR.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4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8F4B92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8F4B92">
              <w:rPr>
                <w:rFonts w:ascii="Calibri" w:hAnsi="Calibri" w:cs="Calibri"/>
                <w:bCs/>
                <w:color w:val="000000" w:themeColor="text1"/>
                <w:sz w:val="20"/>
              </w:rPr>
              <w:t>Celkové řešení musí splňovat standardy bezpečné, elektronické komunikace EIDAS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627D36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 w:rsidRPr="00627D36">
              <w:t>5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627D36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627D36">
              <w:rPr>
                <w:rFonts w:ascii="Calibri" w:hAnsi="Calibri" w:cs="Calibri"/>
                <w:bCs/>
                <w:color w:val="000000" w:themeColor="text1"/>
                <w:sz w:val="20"/>
              </w:rPr>
              <w:t>Celkové řešení nevyžaduje od zadavatele zajistit jakékoli další licence SW třetích stran mimo proprietárního SW (např. další databáze či OS).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6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Celkové řešení disponuje vlastním, otevřeným rozhraním pro autentizační autority a pro vstup dat z vnitřních AIS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7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Celkové řešení je dodáváno jako multilicence a dodavatel garantuje jeho budoucí rozšiřitelnost a zajištění technologické podpory jako celku</w:t>
            </w:r>
          </w:p>
        </w:tc>
      </w:tr>
      <w:tr w:rsidRPr="004F29F1" w:rsidR="001C7AE3" w:rsidTr="0075285B">
        <w:tc>
          <w:tcPr>
            <w:tcW w:w="10760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BDD6EE" w:themeFill="accent1" w:themeFillTint="66"/>
          </w:tcPr>
          <w:p w:rsidRPr="001C7AE3" w:rsidR="001C7AE3" w:rsidP="0075285B" w:rsidRDefault="001C7AE3">
            <w:pPr>
              <w:pStyle w:val="Obsahtabulky"/>
              <w:pBdr>
                <w:right w:val="single" w:color="auto" w:sz="4" w:space="1"/>
              </w:pBdr>
              <w:rPr>
                <w:b/>
              </w:rPr>
            </w:pPr>
            <w:r w:rsidRPr="001C7AE3">
              <w:rPr>
                <w:b/>
              </w:rPr>
              <w:t>Portál občana – Požadavky na architekturu řešení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8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Řešení bude provozováno ve dvou provozně a bezpečnostně oddělených částech - internetové a intranetové.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9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Internetová část – vlastní </w:t>
            </w:r>
            <w:r w:rsidRPr="00487C3A">
              <w:rPr>
                <w:rFonts w:ascii="Calibri" w:hAnsi="Calibri" w:cs="Calibri"/>
                <w:sz w:val="20"/>
              </w:rPr>
              <w:t xml:space="preserve">Portálu občana </w:t>
            </w:r>
            <w:r>
              <w:rPr>
                <w:rFonts w:ascii="Calibri" w:hAnsi="Calibri" w:cs="Calibri"/>
                <w:sz w:val="20"/>
              </w:rPr>
              <w:t>bude u</w:t>
            </w:r>
            <w:r w:rsidRPr="00487C3A">
              <w:rPr>
                <w:rFonts w:ascii="Calibri" w:hAnsi="Calibri" w:cs="Calibri"/>
                <w:sz w:val="20"/>
              </w:rPr>
              <w:t xml:space="preserve">místěn a </w:t>
            </w:r>
            <w:proofErr w:type="gramStart"/>
            <w:r w:rsidRPr="00487C3A">
              <w:rPr>
                <w:rFonts w:ascii="Calibri" w:hAnsi="Calibri" w:cs="Calibri"/>
                <w:sz w:val="20"/>
              </w:rPr>
              <w:t>provoz</w:t>
            </w:r>
            <w:r>
              <w:rPr>
                <w:rFonts w:ascii="Calibri" w:hAnsi="Calibri" w:cs="Calibri"/>
                <w:sz w:val="20"/>
              </w:rPr>
              <w:t xml:space="preserve">ován </w:t>
            </w:r>
            <w:r w:rsidRPr="00487C3A">
              <w:rPr>
                <w:rFonts w:ascii="Calibri" w:hAnsi="Calibri" w:cs="Calibri"/>
                <w:sz w:val="20"/>
              </w:rPr>
              <w:t xml:space="preserve"> v rámci</w:t>
            </w:r>
            <w:proofErr w:type="gramEnd"/>
            <w:r w:rsidRPr="00487C3A">
              <w:rPr>
                <w:rFonts w:ascii="Calibri" w:hAnsi="Calibri" w:cs="Calibri"/>
                <w:sz w:val="20"/>
              </w:rPr>
              <w:t xml:space="preserve"> demilitarizované zóny</w:t>
            </w:r>
            <w:r>
              <w:rPr>
                <w:rFonts w:ascii="Calibri" w:hAnsi="Calibri" w:cs="Calibri"/>
                <w:sz w:val="20"/>
              </w:rPr>
              <w:t xml:space="preserve"> (dále jen DMZ)</w:t>
            </w:r>
            <w:r w:rsidRPr="00487C3A">
              <w:rPr>
                <w:rFonts w:ascii="Calibri" w:hAnsi="Calibri" w:cs="Calibri"/>
                <w:sz w:val="20"/>
              </w:rPr>
              <w:t>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10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Data uložená v DMZ nesmí obsahovat osobní údaje občanů.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11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sz w:val="20"/>
              </w:rPr>
              <w:t>Portál občana bude nabízet občanům řešení jejich životní situací, s dostupností služby v režimu 24x7.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12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Portál občana má administrátorskou část rozhraní začleněnou do Intranetové části řešení.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13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Intranetová část – zajišťuje administrátorskou a datovou podporu pro Internetovou část a zprostředkovává komunikaci s vnitřními agentovými systémy prostřednictvím otevřeného rozhraní.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14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Intranetová část může obsahovat osobní data občanů.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15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Intranetová část je provozována v režimu 8 x 5, konkrétně v pracovní dny době od 7:00 do 15:00. </w:t>
            </w:r>
          </w:p>
        </w:tc>
      </w:tr>
      <w:tr w:rsidRPr="004F29F1" w:rsidR="001C7AE3" w:rsidTr="0075285B">
        <w:tc>
          <w:tcPr>
            <w:tcW w:w="10760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BDD6EE" w:themeFill="accent1" w:themeFillTint="66"/>
          </w:tcPr>
          <w:p w:rsidRPr="001C7AE3" w:rsidR="001C7AE3" w:rsidP="0075285B" w:rsidRDefault="001C7AE3">
            <w:pPr>
              <w:pStyle w:val="Obsahtabulky"/>
              <w:pBdr>
                <w:right w:val="single" w:color="auto" w:sz="4" w:space="1"/>
              </w:pBdr>
              <w:rPr>
                <w:b/>
              </w:rPr>
            </w:pPr>
            <w:r w:rsidRPr="001C7AE3">
              <w:rPr>
                <w:b/>
              </w:rPr>
              <w:t>Portál občana – Obecné požadavky</w:t>
            </w:r>
            <w:r w:rsidR="006A52BF">
              <w:rPr>
                <w:b/>
              </w:rPr>
              <w:t>,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16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Přístup na portál pomocí libovolného (výrobcem podporovaného) webového prohlížeče (minimálně MS Explorer, </w:t>
            </w:r>
            <w:proofErr w:type="spellStart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Mozilla</w:t>
            </w:r>
            <w:proofErr w:type="spellEnd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Firefox</w:t>
            </w:r>
            <w:proofErr w:type="spellEnd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, Google Chrome, Safari)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a přidružené prohlížeče v mobilních zařízeních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17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Portál občana bude dostupný na samostatné URL resp. doméně, kterou určí zadavatel.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18</w:t>
            </w:r>
          </w:p>
        </w:tc>
        <w:tc>
          <w:tcPr>
            <w:tcW w:w="10249" w:type="dxa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Portál občana obsahuje 2 části – veřejnou a privátní (pro registrovaného a přihlášeného uživatele).</w:t>
            </w:r>
          </w:p>
        </w:tc>
      </w:tr>
      <w:tr w:rsidRPr="004F29F1" w:rsidR="005A4587" w:rsidTr="0075285B">
        <w:tc>
          <w:tcPr>
            <w:tcW w:w="10760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BDD6EE" w:themeFill="accent1" w:themeFillTint="66"/>
          </w:tcPr>
          <w:p w:rsidRPr="004F29F1" w:rsidR="005A4587" w:rsidP="0075285B" w:rsidRDefault="005A4587">
            <w:pPr>
              <w:pStyle w:val="Obsahtabulky"/>
              <w:pBdr>
                <w:right w:val="single" w:color="auto" w:sz="4" w:space="1"/>
              </w:pBdr>
            </w:pPr>
            <w:r w:rsidRPr="001C7AE3">
              <w:rPr>
                <w:b/>
              </w:rPr>
              <w:t>Portál občana – Obecné požadavky</w:t>
            </w:r>
            <w:r>
              <w:rPr>
                <w:b/>
              </w:rPr>
              <w:t xml:space="preserve"> na veřejnou část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  <w:right w:val="single" w:color="000000" w:sz="2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19</w:t>
            </w:r>
          </w:p>
        </w:tc>
        <w:tc>
          <w:tcPr>
            <w:tcW w:w="10249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Veřejná část nabídne </w:t>
            </w:r>
            <w:r w:rsidRPr="00487C3A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Strom životních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</w:t>
            </w:r>
            <w:r w:rsidRPr="00487C3A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situací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  <w:right w:val="single" w:color="000000" w:sz="2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20</w:t>
            </w:r>
          </w:p>
        </w:tc>
        <w:tc>
          <w:tcPr>
            <w:tcW w:w="10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Z životní situace bude umožněno přejít do 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navázan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ého 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elektronick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ého 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formulář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e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  <w:right w:val="single" w:color="000000" w:sz="2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21</w:t>
            </w:r>
          </w:p>
        </w:tc>
        <w:tc>
          <w:tcPr>
            <w:tcW w:w="102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19anodst"/>
              <w:spacing w:before="4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Veřejná část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musí umožnit zadavateli zajistit informační servis občanům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:</w:t>
            </w:r>
          </w:p>
          <w:p w:rsidR="0075285B" w:rsidP="0075285B" w:rsidRDefault="0075285B">
            <w:pPr>
              <w:pStyle w:val="19anodst"/>
              <w:numPr>
                <w:ilvl w:val="0"/>
                <w:numId w:val="3"/>
              </w:numP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publikac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i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veřejných dat z IS úřadu</w:t>
            </w:r>
          </w:p>
          <w:p w:rsidRPr="00487C3A" w:rsidR="0075285B" w:rsidP="0075285B" w:rsidRDefault="0075285B">
            <w:pPr>
              <w:pStyle w:val="19anodst"/>
              <w:numPr>
                <w:ilvl w:val="0"/>
                <w:numId w:val="3"/>
              </w:numP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prezentaci aktualit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. 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22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Publikace veřejných dat z IS úřadu musí umožnit zobrazit informaci o:</w:t>
            </w:r>
          </w:p>
          <w:p w:rsidR="0075285B" w:rsidP="0075285B" w:rsidRDefault="0075285B">
            <w:pPr>
              <w:pStyle w:val="19anodst"/>
              <w:numPr>
                <w:ilvl w:val="0"/>
                <w:numId w:val="3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lastRenderedPageBreak/>
              <w:t>rozpočtu</w:t>
            </w:r>
          </w:p>
          <w:p w:rsidR="0075285B" w:rsidP="0075285B" w:rsidRDefault="0075285B">
            <w:pPr>
              <w:pStyle w:val="19anodst"/>
              <w:numPr>
                <w:ilvl w:val="0"/>
                <w:numId w:val="3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usneseních</w:t>
            </w:r>
            <w:proofErr w:type="gramEnd"/>
          </w:p>
          <w:p w:rsidR="0075285B" w:rsidP="0075285B" w:rsidRDefault="0075285B">
            <w:pPr>
              <w:pStyle w:val="19anodst"/>
              <w:numPr>
                <w:ilvl w:val="0"/>
                <w:numId w:val="3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smlouvách</w:t>
            </w:r>
            <w:proofErr w:type="gramEnd"/>
          </w:p>
          <w:p w:rsidR="0075285B" w:rsidP="0075285B" w:rsidRDefault="0075285B">
            <w:pPr>
              <w:pStyle w:val="19anodst"/>
              <w:numPr>
                <w:ilvl w:val="0"/>
                <w:numId w:val="3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volbách</w:t>
            </w:r>
            <w:proofErr w:type="gramEnd"/>
          </w:p>
          <w:p w:rsidRPr="00487C3A" w:rsidR="0075285B" w:rsidP="0075285B" w:rsidRDefault="0075285B">
            <w:pPr>
              <w:pStyle w:val="19anodst"/>
              <w:numPr>
                <w:ilvl w:val="0"/>
                <w:numId w:val="3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dopravní situaci na základě dat z městského kamerového dopravního systému</w:t>
            </w:r>
          </w:p>
        </w:tc>
      </w:tr>
      <w:tr w:rsidRPr="004F29F1" w:rsidR="005A4587" w:rsidTr="0075285B">
        <w:tc>
          <w:tcPr>
            <w:tcW w:w="10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Pr="004F29F1" w:rsidR="005A4587" w:rsidP="0075285B" w:rsidRDefault="005A4587">
            <w:pPr>
              <w:pStyle w:val="Obsahtabulky"/>
              <w:pBdr>
                <w:right w:val="single" w:color="auto" w:sz="4" w:space="1"/>
              </w:pBdr>
            </w:pPr>
            <w:r w:rsidRPr="001C7AE3">
              <w:rPr>
                <w:b/>
              </w:rPr>
              <w:lastRenderedPageBreak/>
              <w:t>Portál občana – Obecné požadavky</w:t>
            </w:r>
            <w:r>
              <w:rPr>
                <w:b/>
              </w:rPr>
              <w:t xml:space="preserve"> na registraci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  <w:right w:val="single" w:color="000000" w:sz="2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23</w:t>
            </w:r>
          </w:p>
        </w:tc>
        <w:tc>
          <w:tcPr>
            <w:tcW w:w="10249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:rsidRPr="005A4587" w:rsidR="0075285B" w:rsidP="0075285B" w:rsidRDefault="0075285B">
            <w:pPr>
              <w:pStyle w:val="19anodst"/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Možnost registrace a přihlášení k Portálu občana </w:t>
            </w:r>
            <w:r w:rsidRPr="005A4587">
              <w:rPr>
                <w:rFonts w:ascii="Calibri" w:hAnsi="Calibri" w:cs="Calibri"/>
                <w:bCs/>
                <w:color w:val="000000" w:themeColor="text1"/>
                <w:sz w:val="20"/>
              </w:rPr>
              <w:t>prostřednictvím dokladu s elektronickým čipem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v souladu s nařízením Evropského parlamentu a Rady (EU) č. 910/2014 „o elektronické identifikaci a službách vytvářejících důvěru pro elektronické transakce na vnitřním trhu (</w:t>
            </w:r>
            <w:proofErr w:type="spellStart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eIDAS</w:t>
            </w:r>
            <w:proofErr w:type="spellEnd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)“ ze dne 23. 7. 2014.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  <w:right w:val="single" w:color="000000" w:sz="2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24</w:t>
            </w:r>
          </w:p>
        </w:tc>
        <w:tc>
          <w:tcPr>
            <w:tcW w:w="10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Možnost registrace a přihlášení k Portálu občana </w:t>
            </w:r>
            <w:r w:rsidRPr="005A4587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prostřednictvím služby </w:t>
            </w:r>
            <w:proofErr w:type="spellStart"/>
            <w:r w:rsidRPr="005A4587">
              <w:rPr>
                <w:rFonts w:ascii="Calibri" w:hAnsi="Calibri" w:cs="Calibri"/>
                <w:bCs/>
                <w:color w:val="000000" w:themeColor="text1"/>
                <w:sz w:val="20"/>
              </w:rPr>
              <w:t>mojeID</w:t>
            </w:r>
            <w:proofErr w:type="spellEnd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provozované sdružením </w:t>
            </w:r>
            <w:proofErr w:type="gramStart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CZ.NIC</w:t>
            </w:r>
            <w:proofErr w:type="gramEnd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s ověřením přihlášení proti </w:t>
            </w:r>
            <w:proofErr w:type="spellStart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identitnímu</w:t>
            </w:r>
            <w:proofErr w:type="spellEnd"/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systému PROXIO-EOS.</w:t>
            </w:r>
          </w:p>
          <w:p w:rsidRPr="005A4587" w:rsidR="0075285B" w:rsidP="0075285B" w:rsidRDefault="0075285B">
            <w:pPr>
              <w:pBdr>
                <w:right w:val="single" w:color="auto" w:sz="4" w:space="1"/>
              </w:pBdr>
              <w:autoSpaceDE w:val="false"/>
              <w:autoSpaceDN w:val="false"/>
              <w:adjustRightInd w:val="false"/>
              <w:spacing w:after="0"/>
              <w:jc w:val="left"/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Ze služby </w:t>
            </w:r>
            <w:proofErr w:type="spellStart"/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>mojeID</w:t>
            </w:r>
            <w:proofErr w:type="spellEnd"/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 jsou požadovány následující údaje:</w:t>
            </w:r>
          </w:p>
          <w:p w:rsidRPr="005A4587" w:rsidR="0075285B" w:rsidP="0075285B" w:rsidRDefault="0075285B">
            <w:pPr>
              <w:pBdr>
                <w:right w:val="single" w:color="auto" w:sz="4" w:space="1"/>
              </w:pBdr>
              <w:autoSpaceDE w:val="false"/>
              <w:autoSpaceDN w:val="false"/>
              <w:adjustRightInd w:val="false"/>
              <w:spacing w:after="53"/>
              <w:jc w:val="left"/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- Unikátní identifikace uživatele </w:t>
            </w:r>
          </w:p>
          <w:p w:rsidRPr="005A4587" w:rsidR="0075285B" w:rsidP="0075285B" w:rsidRDefault="0075285B">
            <w:pPr>
              <w:pBdr>
                <w:right w:val="single" w:color="auto" w:sz="4" w:space="1"/>
              </w:pBdr>
              <w:autoSpaceDE w:val="false"/>
              <w:autoSpaceDN w:val="false"/>
              <w:adjustRightInd w:val="false"/>
              <w:spacing w:after="53"/>
              <w:jc w:val="left"/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- Nick (pojmenování zvolené uživatelem v rámci služby </w:t>
            </w:r>
            <w:proofErr w:type="spellStart"/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>mojeID</w:t>
            </w:r>
            <w:proofErr w:type="spellEnd"/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) </w:t>
            </w:r>
          </w:p>
          <w:p w:rsidRPr="005A4587" w:rsidR="0075285B" w:rsidP="0075285B" w:rsidRDefault="0075285B">
            <w:pPr>
              <w:pBdr>
                <w:right w:val="single" w:color="auto" w:sz="4" w:space="1"/>
              </w:pBdr>
              <w:autoSpaceDE w:val="false"/>
              <w:autoSpaceDN w:val="false"/>
              <w:adjustRightInd w:val="false"/>
              <w:spacing w:after="53"/>
              <w:jc w:val="left"/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- Jméno a příjmení </w:t>
            </w:r>
          </w:p>
          <w:p w:rsidRPr="005A4587" w:rsidR="0075285B" w:rsidP="0075285B" w:rsidRDefault="0075285B">
            <w:pPr>
              <w:pBdr>
                <w:right w:val="single" w:color="auto" w:sz="4" w:space="1"/>
              </w:pBdr>
              <w:autoSpaceDE w:val="false"/>
              <w:autoSpaceDN w:val="false"/>
              <w:adjustRightInd w:val="false"/>
              <w:spacing w:after="53"/>
              <w:jc w:val="left"/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- Email </w:t>
            </w:r>
          </w:p>
          <w:p w:rsidRPr="005A4587" w:rsidR="0075285B" w:rsidP="0075285B" w:rsidRDefault="0075285B">
            <w:pPr>
              <w:pBdr>
                <w:right w:val="single" w:color="auto" w:sz="4" w:space="1"/>
              </w:pBdr>
              <w:autoSpaceDE w:val="false"/>
              <w:autoSpaceDN w:val="false"/>
              <w:adjustRightInd w:val="false"/>
              <w:spacing w:after="0"/>
              <w:jc w:val="left"/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- Mobilní telefon </w:t>
            </w:r>
          </w:p>
          <w:p w:rsidRPr="005A4587" w:rsidR="0075285B" w:rsidP="0075285B" w:rsidRDefault="0075285B">
            <w:pPr>
              <w:pBdr>
                <w:right w:val="single" w:color="auto" w:sz="4" w:space="1"/>
              </w:pBdr>
              <w:autoSpaceDE w:val="false"/>
              <w:autoSpaceDN w:val="false"/>
              <w:adjustRightInd w:val="false"/>
              <w:spacing w:after="53"/>
              <w:jc w:val="left"/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5A4587">
              <w:rPr>
                <w:rFonts w:ascii="Calibri" w:hAnsi="Calibri" w:eastAsia="Times New Roman" w:cs="Calibri"/>
                <w:bCs/>
                <w:color w:val="000000" w:themeColor="text1"/>
                <w:sz w:val="20"/>
                <w:szCs w:val="20"/>
                <w:lang w:eastAsia="cs-CZ"/>
              </w:rPr>
              <w:t xml:space="preserve">- Datum narození </w:t>
            </w:r>
          </w:p>
          <w:p w:rsidRPr="005A4587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- Místo trvalého bydliště 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000000" w:sz="1" w:space="0"/>
              <w:right w:val="single" w:color="000000" w:sz="2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25</w:t>
            </w:r>
          </w:p>
        </w:tc>
        <w:tc>
          <w:tcPr>
            <w:tcW w:w="10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19anodst"/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Možnost On-line registrace občana </w:t>
            </w:r>
            <w:r w:rsidRPr="005A4587">
              <w:rPr>
                <w:rFonts w:ascii="Calibri" w:hAnsi="Calibri" w:cs="Calibri"/>
                <w:bCs/>
                <w:color w:val="000000" w:themeColor="text1"/>
                <w:sz w:val="20"/>
              </w:rPr>
              <w:t>prostřednictvím portálu se zpracováním registračních údajů úřadem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, musí umožnit:</w:t>
            </w:r>
          </w:p>
          <w:p w:rsidR="0075285B" w:rsidP="0075285B" w:rsidRDefault="0075285B">
            <w:pPr>
              <w:pStyle w:val="19anodst"/>
              <w:numPr>
                <w:ilvl w:val="0"/>
                <w:numId w:val="3"/>
              </w:numP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vygenerování dokumentu PDF s obsaženým jedinečným kódem.</w:t>
            </w:r>
          </w:p>
          <w:p w:rsidRPr="00487C3A" w:rsidR="0075285B" w:rsidP="0075285B" w:rsidRDefault="0075285B">
            <w:pPr>
              <w:pStyle w:val="19anodst"/>
              <w:numPr>
                <w:ilvl w:val="0"/>
                <w:numId w:val="3"/>
              </w:numP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dokončit občanovi registraci zadáním jedinečného kódu, který mu byl doručen listovní zásilkou do vlastních rukou.    </w:t>
            </w:r>
          </w:p>
        </w:tc>
      </w:tr>
      <w:tr w:rsidRPr="004F29F1" w:rsidR="0075285B" w:rsidTr="0075285B">
        <w:tc>
          <w:tcPr>
            <w:tcW w:w="511" w:type="dxa"/>
            <w:tcBorders>
              <w:left w:val="single" w:color="000000" w:sz="1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:rsidRPr="004F29F1"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26</w:t>
            </w:r>
          </w:p>
        </w:tc>
        <w:tc>
          <w:tcPr>
            <w:tcW w:w="102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75862" w:rsidR="0075285B" w:rsidP="0075285B" w:rsidRDefault="0075285B">
            <w:pPr>
              <w:pStyle w:val="19anodst"/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Možnost registrace občana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</w:t>
            </w:r>
            <w:r w:rsidRPr="005A4587">
              <w:rPr>
                <w:rFonts w:ascii="Calibri" w:hAnsi="Calibri" w:cs="Calibri"/>
                <w:bCs/>
                <w:color w:val="000000" w:themeColor="text1"/>
                <w:sz w:val="20"/>
              </w:rPr>
              <w:t>při osobní návštěvě na úřadu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(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po ověření 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pracovníkem úřadu)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27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Systém musí umožnit dvoufázové ověření za pomocí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sms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pro následující operace:</w:t>
            </w:r>
          </w:p>
          <w:p w:rsidR="0075285B" w:rsidP="0075285B" w:rsidRDefault="0075285B">
            <w:pPr>
              <w:pStyle w:val="19anodst"/>
              <w:numPr>
                <w:ilvl w:val="0"/>
                <w:numId w:val="3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dokončení registrace na úřadu,</w:t>
            </w:r>
          </w:p>
          <w:p w:rsidRPr="005A5985" w:rsidR="0075285B" w:rsidP="0075285B" w:rsidRDefault="0075285B">
            <w:pPr>
              <w:pStyle w:val="19anodst"/>
              <w:numPr>
                <w:ilvl w:val="0"/>
                <w:numId w:val="3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zapomenuté heslo,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28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7CDB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0B7CDB">
              <w:rPr>
                <w:rFonts w:ascii="Calibri" w:hAnsi="Calibri" w:cs="Calibri"/>
                <w:bCs/>
                <w:color w:val="000000" w:themeColor="text1"/>
                <w:sz w:val="20"/>
              </w:rPr>
              <w:t>Systém umožní pro jeden vytvořený účet přiřadit více subjektů.</w:t>
            </w:r>
          </w:p>
        </w:tc>
      </w:tr>
      <w:tr w:rsidRPr="004F29F1" w:rsidR="005A4587" w:rsidTr="0075285B">
        <w:tc>
          <w:tcPr>
            <w:tcW w:w="10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Pr="004F29F1" w:rsidR="005A4587" w:rsidP="0075285B" w:rsidRDefault="005A4587">
            <w:pPr>
              <w:pStyle w:val="Obsahtabulky"/>
              <w:pBdr>
                <w:right w:val="single" w:color="auto" w:sz="4" w:space="1"/>
              </w:pBdr>
            </w:pPr>
            <w:r w:rsidRPr="001C7AE3">
              <w:rPr>
                <w:b/>
              </w:rPr>
              <w:t>Portál občana – Obecné požadavky</w:t>
            </w:r>
            <w:r>
              <w:rPr>
                <w:b/>
              </w:rPr>
              <w:t xml:space="preserve"> na privátní část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29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Privátní část nabízí informace pouze pro registrovaného a přihlášeného uživatele.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30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 w:after="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Privátní část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musí umožnit následující funkcionality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:</w:t>
            </w:r>
          </w:p>
          <w:p w:rsidR="0075285B" w:rsidP="0075285B" w:rsidRDefault="0075285B">
            <w:pPr>
              <w:pStyle w:val="19anodst"/>
              <w:numPr>
                <w:ilvl w:val="0"/>
                <w:numId w:val="4"/>
              </w:numPr>
              <w:pBdr>
                <w:right w:val="single" w:color="auto" w:sz="4" w:space="1"/>
              </w:pBdr>
              <w:spacing w:before="40" w:after="0"/>
              <w:ind w:left="597" w:hanging="228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zobrazení aktuálních pohledávek občana, informace o platbě společně s možností úhrady platební kartou,</w:t>
            </w:r>
          </w:p>
          <w:p w:rsidR="0075285B" w:rsidP="0075285B" w:rsidRDefault="0075285B">
            <w:pPr>
              <w:pStyle w:val="19anodst"/>
              <w:numPr>
                <w:ilvl w:val="0"/>
                <w:numId w:val="4"/>
              </w:numPr>
              <w:pBdr>
                <w:right w:val="single" w:color="auto" w:sz="4" w:space="1"/>
              </w:pBdr>
              <w:spacing w:before="40" w:after="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zobrazení agendy místních poplatků,</w:t>
            </w:r>
          </w:p>
          <w:p w:rsidR="0075285B" w:rsidP="0075285B" w:rsidRDefault="0075285B">
            <w:pPr>
              <w:pStyle w:val="19anodst"/>
              <w:numPr>
                <w:ilvl w:val="0"/>
                <w:numId w:val="4"/>
              </w:numPr>
              <w:pBdr>
                <w:right w:val="single" w:color="auto" w:sz="4" w:space="1"/>
              </w:pBdr>
              <w:spacing w:before="40" w:after="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zobrazení aktuálních smluv občana,</w:t>
            </w:r>
          </w:p>
          <w:p w:rsidR="0075285B" w:rsidP="0075285B" w:rsidRDefault="0075285B">
            <w:pPr>
              <w:pStyle w:val="19anodst"/>
              <w:numPr>
                <w:ilvl w:val="0"/>
                <w:numId w:val="4"/>
              </w:numPr>
              <w:pBdr>
                <w:right w:val="single" w:color="auto" w:sz="4" w:space="1"/>
              </w:pBdr>
              <w:spacing w:before="40" w:after="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zobrazení aktuálně vedených řízení,</w:t>
            </w:r>
          </w:p>
          <w:p w:rsidRPr="00746A55" w:rsidR="0075285B" w:rsidP="0075285B" w:rsidRDefault="0075285B">
            <w:pPr>
              <w:pStyle w:val="19anodst"/>
              <w:numPr>
                <w:ilvl w:val="0"/>
                <w:numId w:val="4"/>
              </w:numPr>
              <w:pBdr>
                <w:right w:val="single" w:color="auto" w:sz="4" w:space="1"/>
              </w:pBdr>
              <w:spacing w:before="40" w:after="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zobrazení odeslaných podání prostřednictvím portálu,</w:t>
            </w:r>
          </w:p>
          <w:p w:rsidRPr="00487C3A" w:rsidR="0075285B" w:rsidP="0075285B" w:rsidRDefault="0075285B">
            <w:pPr>
              <w:pStyle w:val="19anodst"/>
              <w:numPr>
                <w:ilvl w:val="0"/>
                <w:numId w:val="4"/>
              </w:numPr>
              <w:pBdr>
                <w:right w:val="single" w:color="auto" w:sz="4" w:space="1"/>
              </w:pBdr>
              <w:spacing w:before="40" w:after="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ú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plné elektronické podání,</w:t>
            </w:r>
          </w:p>
          <w:p w:rsidR="0075285B" w:rsidP="0075285B" w:rsidRDefault="0075285B">
            <w:pPr>
              <w:pStyle w:val="19anodst"/>
              <w:numPr>
                <w:ilvl w:val="0"/>
                <w:numId w:val="4"/>
              </w:numPr>
              <w:pBdr>
                <w:right w:val="single" w:color="auto" w:sz="4" w:space="1"/>
              </w:pBdr>
              <w:spacing w:before="40" w:after="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hlídací pes (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Notifikace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),</w:t>
            </w:r>
          </w:p>
          <w:p w:rsidRPr="00487C3A" w:rsidR="0075285B" w:rsidP="0075285B" w:rsidRDefault="0075285B">
            <w:pPr>
              <w:pStyle w:val="19anodst"/>
              <w:numPr>
                <w:ilvl w:val="0"/>
                <w:numId w:val="4"/>
              </w:numPr>
              <w:pBdr>
                <w:right w:val="single" w:color="auto" w:sz="4" w:space="1"/>
              </w:pBdr>
              <w:spacing w:before="40" w:after="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profil občana.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31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Bdr>
                <w:right w:val="single" w:color="auto" w:sz="4" w:space="1"/>
              </w:pBdr>
              <w:jc w:val="left"/>
            </w:pPr>
            <w:r w:rsidRPr="00AC5567">
              <w:rPr>
                <w:rFonts w:ascii="Calibri" w:hAnsi="Calibri" w:cs="Calibri"/>
                <w:b/>
                <w:bCs/>
                <w:color w:val="000000" w:themeColor="text1"/>
              </w:rPr>
              <w:t>Zobrazení aktuálních pohledávek občana</w:t>
            </w:r>
            <w:r w:rsidRPr="00487C3A">
              <w:rPr>
                <w:rFonts w:ascii="Calibri" w:hAnsi="Calibri" w:cs="Calibri"/>
                <w:bCs/>
                <w:color w:val="000000" w:themeColor="text1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Cs w:val="20"/>
              </w:rPr>
              <w:t>-</w:t>
            </w:r>
            <w:r w:rsidRPr="00487C3A">
              <w:rPr>
                <w:rFonts w:ascii="Calibri" w:hAnsi="Calibri" w:cs="Calibri"/>
                <w:bCs/>
                <w:color w:val="000000" w:themeColor="text1"/>
                <w:szCs w:val="20"/>
              </w:rPr>
              <w:t xml:space="preserve"> seznam pohledávek úřadu směrem ke konkrétnímu občanovi. Minimálně v rozsahu údajů -  </w:t>
            </w:r>
            <w:r>
              <w:rPr>
                <w:rFonts w:ascii="Calibri" w:hAnsi="Calibri" w:cs="Calibri"/>
                <w:bCs/>
                <w:color w:val="000000" w:themeColor="text1"/>
                <w:szCs w:val="20"/>
              </w:rPr>
              <w:t>druh pohledávky</w:t>
            </w:r>
            <w:r w:rsidRPr="00487C3A">
              <w:rPr>
                <w:rFonts w:ascii="Calibri" w:hAnsi="Calibri" w:cs="Calibri"/>
                <w:bCs/>
                <w:color w:val="000000" w:themeColor="text1"/>
                <w:szCs w:val="20"/>
              </w:rPr>
              <w:t xml:space="preserve">, částka celkem, částka </w:t>
            </w:r>
            <w:r>
              <w:rPr>
                <w:rFonts w:ascii="Calibri" w:hAnsi="Calibri" w:cs="Calibri"/>
                <w:bCs/>
                <w:color w:val="000000" w:themeColor="text1"/>
                <w:szCs w:val="20"/>
              </w:rPr>
              <w:t>k úhradě</w:t>
            </w:r>
            <w:r w:rsidRPr="00487C3A">
              <w:rPr>
                <w:rFonts w:ascii="Calibri" w:hAnsi="Calibri" w:cs="Calibri"/>
                <w:bCs/>
                <w:color w:val="000000" w:themeColor="text1"/>
                <w:szCs w:val="20"/>
              </w:rPr>
              <w:t>. Dále seznam jednotlivých pohledávek a plateb ve vazbě na konkrétní agendu.</w:t>
            </w:r>
            <w:r>
              <w:rPr>
                <w:rFonts w:ascii="Calibri" w:hAnsi="Calibri" w:cs="Calibri"/>
                <w:bCs/>
                <w:color w:val="000000" w:themeColor="text1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U</w:t>
            </w:r>
            <w:r w:rsidRPr="00352DE0">
              <w:rPr>
                <w:rFonts w:ascii="Calibri" w:hAnsi="Calibri" w:cs="Calibri"/>
                <w:szCs w:val="20"/>
              </w:rPr>
              <w:t xml:space="preserve"> konkrétní položky z přehledu pohledávek </w:t>
            </w:r>
            <w:r>
              <w:rPr>
                <w:rFonts w:ascii="Calibri" w:hAnsi="Calibri" w:cs="Calibri"/>
                <w:szCs w:val="20"/>
              </w:rPr>
              <w:t xml:space="preserve">musí systém </w:t>
            </w:r>
            <w:r w:rsidRPr="00352DE0">
              <w:rPr>
                <w:rFonts w:ascii="Calibri" w:hAnsi="Calibri" w:cs="Calibri"/>
                <w:szCs w:val="20"/>
              </w:rPr>
              <w:t>pos</w:t>
            </w:r>
            <w:bookmarkStart w:name="_GoBack" w:id="0"/>
            <w:bookmarkEnd w:id="0"/>
            <w:r w:rsidRPr="00352DE0">
              <w:rPr>
                <w:rFonts w:ascii="Calibri" w:hAnsi="Calibri" w:cs="Calibri"/>
                <w:szCs w:val="20"/>
              </w:rPr>
              <w:t xml:space="preserve">kytnout informace </w:t>
            </w:r>
            <w:r>
              <w:rPr>
                <w:rFonts w:ascii="Calibri" w:hAnsi="Calibri" w:cs="Calibri"/>
                <w:szCs w:val="20"/>
              </w:rPr>
              <w:t xml:space="preserve">pro realizaci </w:t>
            </w:r>
            <w:r w:rsidRPr="00352DE0">
              <w:rPr>
                <w:rFonts w:ascii="Calibri" w:hAnsi="Calibri" w:cs="Calibri"/>
                <w:szCs w:val="20"/>
              </w:rPr>
              <w:t>úhrad</w:t>
            </w:r>
            <w:r>
              <w:rPr>
                <w:rFonts w:ascii="Calibri" w:hAnsi="Calibri" w:cs="Calibri"/>
                <w:szCs w:val="20"/>
              </w:rPr>
              <w:t>y</w:t>
            </w:r>
            <w:r w:rsidRPr="00352DE0">
              <w:rPr>
                <w:rFonts w:ascii="Calibri" w:hAnsi="Calibri" w:cs="Calibri"/>
                <w:szCs w:val="20"/>
              </w:rPr>
              <w:t xml:space="preserve"> – bankovní účet, variabilní symbol, částku</w:t>
            </w:r>
            <w:r>
              <w:rPr>
                <w:rFonts w:ascii="Calibri" w:hAnsi="Calibri" w:cs="Calibri"/>
                <w:szCs w:val="20"/>
              </w:rPr>
              <w:t xml:space="preserve"> a </w:t>
            </w:r>
            <w:r w:rsidRPr="00352DE0">
              <w:rPr>
                <w:rFonts w:ascii="Calibri" w:hAnsi="Calibri" w:cs="Calibri"/>
                <w:szCs w:val="20"/>
              </w:rPr>
              <w:t>nebo QR kód.</w:t>
            </w:r>
            <w:r>
              <w:rPr>
                <w:rFonts w:ascii="Calibri" w:hAnsi="Calibri" w:cs="Calibri"/>
                <w:szCs w:val="20"/>
              </w:rPr>
              <w:t xml:space="preserve"> Každá </w:t>
            </w:r>
            <w:r>
              <w:rPr>
                <w:rFonts w:ascii="Calibri" w:hAnsi="Calibri" w:cs="Calibri"/>
                <w:szCs w:val="20"/>
              </w:rPr>
              <w:lastRenderedPageBreak/>
              <w:t xml:space="preserve">pohledávka musí jít uhradit i platební kartou. 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lastRenderedPageBreak/>
              <w:t>32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2B12" w:rsidR="0075285B" w:rsidP="0075285B" w:rsidRDefault="0075285B">
            <w:pPr>
              <w:pBdr>
                <w:right w:val="single" w:color="auto" w:sz="4" w:space="1"/>
              </w:pBdr>
              <w:spacing w:line="264" w:lineRule="auto"/>
              <w:jc w:val="left"/>
              <w:rPr>
                <w:rFonts w:ascii="Calibri" w:hAnsi="Calibri" w:cs="Calibri"/>
                <w:szCs w:val="20"/>
              </w:rPr>
            </w:pPr>
            <w:r w:rsidRPr="001C2B12">
              <w:rPr>
                <w:rFonts w:ascii="Calibri" w:hAnsi="Calibri" w:cs="Calibri"/>
                <w:b/>
                <w:szCs w:val="20"/>
              </w:rPr>
              <w:t>Zobrazení agendy místních poplatků</w:t>
            </w:r>
            <w:r w:rsidRPr="001C2B12">
              <w:rPr>
                <w:rFonts w:ascii="Calibri" w:hAnsi="Calibri" w:cs="Calibri"/>
                <w:szCs w:val="20"/>
              </w:rPr>
              <w:t xml:space="preserve"> – seznam evidovaných řízení místních poplatků včetně detailních informací o předmětu da</w:t>
            </w:r>
            <w:r>
              <w:rPr>
                <w:rFonts w:ascii="Calibri" w:hAnsi="Calibri" w:cs="Calibri"/>
                <w:szCs w:val="20"/>
              </w:rPr>
              <w:t>ného poplatku u následujících ty</w:t>
            </w:r>
            <w:r w:rsidRPr="001C2B12">
              <w:rPr>
                <w:rFonts w:ascii="Calibri" w:hAnsi="Calibri" w:cs="Calibri"/>
                <w:szCs w:val="20"/>
              </w:rPr>
              <w:t>pů:</w:t>
            </w:r>
          </w:p>
          <w:p w:rsidRPr="001C2B12" w:rsidR="0075285B" w:rsidP="0075285B" w:rsidRDefault="0075285B">
            <w:pPr>
              <w:pStyle w:val="Odstavecseseznamem"/>
              <w:numPr>
                <w:ilvl w:val="0"/>
                <w:numId w:val="5"/>
              </w:numPr>
              <w:pBdr>
                <w:right w:val="single" w:color="auto" w:sz="4" w:space="1"/>
              </w:pBdr>
              <w:spacing w:after="60" w:line="264" w:lineRule="auto"/>
              <w:jc w:val="left"/>
              <w:rPr>
                <w:rFonts w:ascii="Calibri" w:hAnsi="Calibri" w:cs="Calibri"/>
                <w:szCs w:val="20"/>
              </w:rPr>
            </w:pPr>
            <w:r w:rsidRPr="001C2B12">
              <w:rPr>
                <w:rFonts w:ascii="Calibri" w:hAnsi="Calibri" w:cs="Calibri"/>
                <w:szCs w:val="20"/>
              </w:rPr>
              <w:t>poplatek ze psů</w:t>
            </w:r>
          </w:p>
          <w:p w:rsidRPr="001C2B12" w:rsidR="0075285B" w:rsidP="0075285B" w:rsidRDefault="0075285B">
            <w:pPr>
              <w:pStyle w:val="Odstavecseseznamem"/>
              <w:numPr>
                <w:ilvl w:val="0"/>
                <w:numId w:val="5"/>
              </w:numPr>
              <w:pBdr>
                <w:right w:val="single" w:color="auto" w:sz="4" w:space="1"/>
              </w:pBdr>
              <w:spacing w:after="60" w:line="264" w:lineRule="auto"/>
              <w:jc w:val="left"/>
              <w:rPr>
                <w:rFonts w:ascii="Calibri" w:hAnsi="Calibri" w:cs="Calibri"/>
                <w:szCs w:val="20"/>
              </w:rPr>
            </w:pPr>
            <w:r w:rsidRPr="001C2B12">
              <w:rPr>
                <w:rFonts w:ascii="Calibri" w:hAnsi="Calibri" w:cs="Calibri"/>
                <w:szCs w:val="20"/>
              </w:rPr>
              <w:t>poplatek za svoz komunálního odpadu</w:t>
            </w:r>
          </w:p>
          <w:p w:rsidRPr="001C2B12" w:rsidR="0075285B" w:rsidP="0075285B" w:rsidRDefault="0075285B">
            <w:pPr>
              <w:pStyle w:val="Odstavecseseznamem"/>
              <w:numPr>
                <w:ilvl w:val="0"/>
                <w:numId w:val="5"/>
              </w:numPr>
              <w:pBdr>
                <w:right w:val="single" w:color="auto" w:sz="4" w:space="1"/>
              </w:pBdr>
              <w:spacing w:after="60" w:line="264" w:lineRule="auto"/>
              <w:jc w:val="left"/>
              <w:rPr>
                <w:rFonts w:ascii="Calibri" w:hAnsi="Calibri" w:cs="Calibri"/>
                <w:szCs w:val="20"/>
              </w:rPr>
            </w:pPr>
            <w:r w:rsidRPr="001C2B12">
              <w:rPr>
                <w:rFonts w:ascii="Calibri" w:hAnsi="Calibri" w:cs="Calibri"/>
                <w:szCs w:val="20"/>
              </w:rPr>
              <w:t>ubytovací kapacita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33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2B12" w:rsidR="0075285B" w:rsidP="0075285B" w:rsidRDefault="0075285B">
            <w:pPr>
              <w:pBdr>
                <w:right w:val="single" w:color="auto" w:sz="4" w:space="1"/>
              </w:pBdr>
              <w:spacing w:line="264" w:lineRule="auto"/>
              <w:jc w:val="left"/>
              <w:rPr>
                <w:rFonts w:ascii="Calibri" w:hAnsi="Calibri" w:cs="Calibri"/>
                <w:b/>
                <w:szCs w:val="20"/>
              </w:rPr>
            </w:pPr>
            <w:r w:rsidRPr="001C2B12">
              <w:rPr>
                <w:rFonts w:ascii="Calibri" w:hAnsi="Calibri" w:cs="Calibri"/>
                <w:b/>
                <w:szCs w:val="20"/>
              </w:rPr>
              <w:t>Zobrazení aktuálních smluv občana</w:t>
            </w:r>
            <w:r w:rsidRPr="001C2B12">
              <w:rPr>
                <w:rFonts w:ascii="Calibri" w:hAnsi="Calibri" w:cs="Calibri"/>
                <w:szCs w:val="20"/>
              </w:rPr>
              <w:t xml:space="preserve"> – seznam údajů o evidovaných smlouvách včetně jejich dodatků, údajů o platnosti smlouvy a dalších smluvních stranách.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34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2B12" w:rsidR="0075285B" w:rsidP="0075285B" w:rsidRDefault="0075285B">
            <w:pPr>
              <w:pBdr>
                <w:right w:val="single" w:color="auto" w:sz="4" w:space="1"/>
              </w:pBdr>
              <w:spacing w:line="264" w:lineRule="auto"/>
              <w:jc w:val="left"/>
              <w:rPr>
                <w:rFonts w:ascii="Calibri" w:hAnsi="Calibri" w:cs="Calibri"/>
                <w:b/>
                <w:szCs w:val="20"/>
              </w:rPr>
            </w:pPr>
            <w:r w:rsidRPr="001C2B12">
              <w:rPr>
                <w:rFonts w:ascii="Calibri" w:hAnsi="Calibri" w:cs="Calibri"/>
                <w:b/>
                <w:szCs w:val="20"/>
              </w:rPr>
              <w:t>Zobrazení aktuálně vedených řízení</w:t>
            </w:r>
            <w:r w:rsidRPr="001C2B12">
              <w:rPr>
                <w:rFonts w:ascii="Calibri" w:hAnsi="Calibri" w:cs="Calibri"/>
                <w:szCs w:val="20"/>
              </w:rPr>
              <w:t xml:space="preserve"> – přehled jednotlivých řízení vedených </w:t>
            </w:r>
            <w:r>
              <w:rPr>
                <w:rFonts w:ascii="Calibri" w:hAnsi="Calibri" w:cs="Calibri"/>
                <w:szCs w:val="20"/>
              </w:rPr>
              <w:t>mezi občanem a</w:t>
            </w:r>
            <w:r w:rsidRPr="001C2B12">
              <w:rPr>
                <w:rFonts w:ascii="Calibri" w:hAnsi="Calibri" w:cs="Calibri"/>
                <w:szCs w:val="20"/>
              </w:rPr>
              <w:t> úřadem včetně stavu řízení, přehledu odeslaných dokumentů v rámci řízení a jejich doručení.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35.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Bdr>
                <w:right w:val="single" w:color="auto" w:sz="4" w:space="1"/>
              </w:pBdr>
              <w:spacing w:line="264" w:lineRule="auto"/>
              <w:jc w:val="left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Z</w:t>
            </w:r>
            <w:r w:rsidRPr="00EA65EA">
              <w:rPr>
                <w:rFonts w:ascii="Calibri" w:hAnsi="Calibri" w:cs="Calibri"/>
                <w:b/>
                <w:szCs w:val="20"/>
              </w:rPr>
              <w:t>obrazení odeslaných podání prostřednictvím portálu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325754">
              <w:rPr>
                <w:rFonts w:ascii="Calibri" w:hAnsi="Calibri" w:cs="Calibri"/>
                <w:szCs w:val="20"/>
              </w:rPr>
              <w:t>–</w:t>
            </w:r>
            <w:r>
              <w:rPr>
                <w:rFonts w:ascii="Calibri" w:hAnsi="Calibri" w:cs="Calibri"/>
                <w:szCs w:val="20"/>
              </w:rPr>
              <w:t xml:space="preserve"> přehled odeslaných podání včetně obrazu vlastních dokumentů, které občan uskutečnil prostřednictvím portálu občana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36.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Bdr>
                <w:right w:val="single" w:color="auto" w:sz="4" w:space="1"/>
              </w:pBdr>
              <w:spacing w:line="264" w:lineRule="auto"/>
              <w:jc w:val="left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Ú</w:t>
            </w:r>
            <w:r w:rsidRPr="00EA65EA">
              <w:rPr>
                <w:rFonts w:ascii="Calibri" w:hAnsi="Calibri" w:cs="Calibri"/>
                <w:b/>
                <w:bCs/>
                <w:color w:val="000000" w:themeColor="text1"/>
              </w:rPr>
              <w:t>plné elektronické podání</w:t>
            </w:r>
            <w:r w:rsidRPr="00325754">
              <w:rPr>
                <w:rFonts w:ascii="Calibri" w:hAnsi="Calibri" w:cs="Calibri"/>
                <w:szCs w:val="20"/>
              </w:rPr>
              <w:t xml:space="preserve"> – </w:t>
            </w:r>
            <w:r>
              <w:rPr>
                <w:rFonts w:ascii="Calibri" w:hAnsi="Calibri" w:cs="Calibri"/>
                <w:szCs w:val="20"/>
              </w:rPr>
              <w:t>v</w:t>
            </w:r>
            <w:r w:rsidRPr="00487C3A">
              <w:rPr>
                <w:rFonts w:ascii="Calibri" w:hAnsi="Calibri" w:cs="Calibri"/>
                <w:szCs w:val="20"/>
              </w:rPr>
              <w:t xml:space="preserve">yplněný </w:t>
            </w:r>
            <w:r w:rsidRPr="003B1CC5">
              <w:rPr>
                <w:rFonts w:ascii="Calibri" w:hAnsi="Calibri" w:cs="Calibri"/>
                <w:szCs w:val="20"/>
              </w:rPr>
              <w:t>formulář</w:t>
            </w:r>
            <w:r w:rsidRPr="00C64FC0">
              <w:rPr>
                <w:rFonts w:ascii="Calibri" w:hAnsi="Calibri" w:cs="Calibri"/>
                <w:b/>
                <w:szCs w:val="20"/>
              </w:rPr>
              <w:t xml:space="preserve"> </w:t>
            </w:r>
            <w:r w:rsidRPr="00487C3A">
              <w:rPr>
                <w:rFonts w:ascii="Calibri" w:hAnsi="Calibri" w:cs="Calibri"/>
                <w:szCs w:val="20"/>
              </w:rPr>
              <w:t xml:space="preserve">bude </w:t>
            </w:r>
            <w:r>
              <w:rPr>
                <w:rFonts w:ascii="Calibri" w:hAnsi="Calibri" w:cs="Calibri"/>
                <w:szCs w:val="20"/>
              </w:rPr>
              <w:t xml:space="preserve">prostřednictvím portálu </w:t>
            </w:r>
            <w:r w:rsidRPr="00487C3A">
              <w:rPr>
                <w:rFonts w:ascii="Calibri" w:hAnsi="Calibri" w:cs="Calibri"/>
                <w:szCs w:val="20"/>
              </w:rPr>
              <w:t xml:space="preserve">automaticky </w:t>
            </w:r>
            <w:r>
              <w:rPr>
                <w:rFonts w:ascii="Calibri" w:hAnsi="Calibri" w:cs="Calibri"/>
                <w:szCs w:val="20"/>
              </w:rPr>
              <w:t>doručen do spisové služby</w:t>
            </w:r>
            <w:r w:rsidRPr="00487C3A">
              <w:rPr>
                <w:rFonts w:ascii="Calibri" w:hAnsi="Calibri" w:cs="Calibri"/>
                <w:szCs w:val="20"/>
              </w:rPr>
              <w:t>.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487C3A">
              <w:rPr>
                <w:rFonts w:ascii="Calibri" w:hAnsi="Calibri" w:cs="Calibri"/>
              </w:rPr>
              <w:t>Formulář bude převeden do formátu PDF + XML dokument.</w:t>
            </w:r>
            <w:r>
              <w:rPr>
                <w:rFonts w:ascii="Calibri" w:hAnsi="Calibri" w:cs="Calibri"/>
              </w:rPr>
              <w:t xml:space="preserve"> </w:t>
            </w:r>
            <w:r w:rsidRPr="006A5A75">
              <w:rPr>
                <w:rFonts w:ascii="Calibri" w:hAnsi="Calibri" w:cs="Calibri"/>
                <w:bCs/>
                <w:color w:val="000000" w:themeColor="text1"/>
              </w:rPr>
              <w:t>Informace uložené v XML dokumentu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bude možné </w:t>
            </w:r>
            <w:r w:rsidRPr="006A5A75">
              <w:rPr>
                <w:rFonts w:ascii="Calibri" w:hAnsi="Calibri" w:cs="Calibri"/>
                <w:bCs/>
                <w:color w:val="000000" w:themeColor="text1"/>
              </w:rPr>
              <w:t>zpracovat, mapovat a „vytěžit“ jako podklad pro řízení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v příslušném IS</w:t>
            </w:r>
            <w:r w:rsidRPr="006A5A75">
              <w:rPr>
                <w:rFonts w:ascii="Calibri" w:hAnsi="Calibri" w:cs="Calibri"/>
                <w:bCs/>
                <w:color w:val="000000" w:themeColor="text1"/>
              </w:rPr>
              <w:t>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37.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035EF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7035EF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Hlídací pes</w:t>
            </w:r>
            <w:r w:rsidRPr="007035EF">
              <w:rPr>
                <w:rFonts w:ascii="Calibri" w:hAnsi="Calibri" w:cs="Calibri"/>
                <w:sz w:val="20"/>
              </w:rPr>
              <w:t xml:space="preserve"> – </w:t>
            </w:r>
            <w:r w:rsidRPr="007035EF">
              <w:rPr>
                <w:rFonts w:ascii="Calibri" w:hAnsi="Calibri" w:cs="Calibri"/>
                <w:bCs/>
                <w:color w:val="000000" w:themeColor="text1"/>
                <w:sz w:val="20"/>
              </w:rPr>
              <w:t>nástroj umožňující zadat občanům podklady a termín pro upozornění. Nástroj poté automaticky oznámí občanům blížící se termín. Např. konec platnosti Občanského průkazu.</w:t>
            </w:r>
          </w:p>
          <w:p w:rsidRPr="007035EF" w:rsidR="0075285B" w:rsidP="0075285B" w:rsidRDefault="0075285B">
            <w:pPr>
              <w:pBdr>
                <w:right w:val="single" w:color="auto" w:sz="4" w:space="1"/>
              </w:pBdr>
              <w:spacing w:line="264" w:lineRule="auto"/>
              <w:jc w:val="left"/>
              <w:rPr>
                <w:rFonts w:ascii="Calibri" w:hAnsi="Calibri" w:cs="Calibri"/>
                <w:b/>
                <w:szCs w:val="20"/>
              </w:rPr>
            </w:pPr>
            <w:r w:rsidRPr="007035EF">
              <w:rPr>
                <w:rFonts w:ascii="Calibri" w:hAnsi="Calibri" w:cs="Calibri"/>
                <w:bCs/>
                <w:color w:val="000000" w:themeColor="text1"/>
                <w:szCs w:val="20"/>
              </w:rPr>
              <w:t>Oznámení bude provedeno formou e-mailové zprávy a formou upozornění na portálu občana.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 xml:space="preserve">38. 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7035EF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Profil občana</w:t>
            </w:r>
            <w:r w:rsidRPr="007035EF">
              <w:rPr>
                <w:rFonts w:ascii="Calibri" w:hAnsi="Calibri" w:cs="Calibri"/>
                <w:sz w:val="20"/>
              </w:rPr>
              <w:t xml:space="preserve"> –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systém </w:t>
            </w:r>
            <w:proofErr w:type="gramStart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musí</w:t>
            </w:r>
            <w:proofErr w:type="gramEnd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občanovi </w:t>
            </w:r>
            <w:proofErr w:type="gramStart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poskytnou</w:t>
            </w:r>
            <w:proofErr w:type="gramEnd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možnost změny následujících údajů:</w:t>
            </w:r>
          </w:p>
          <w:p w:rsidR="0075285B" w:rsidP="0075285B" w:rsidRDefault="0075285B">
            <w:pPr>
              <w:pStyle w:val="19anodst"/>
              <w:numPr>
                <w:ilvl w:val="0"/>
                <w:numId w:val="6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 w:rsidRPr="00D1498A">
              <w:rPr>
                <w:rFonts w:ascii="Calibri" w:hAnsi="Calibri" w:cs="Calibri"/>
                <w:bCs/>
                <w:color w:val="000000" w:themeColor="text1"/>
                <w:sz w:val="20"/>
              </w:rPr>
              <w:t>změna e-mailu</w:t>
            </w:r>
          </w:p>
          <w:p w:rsidRPr="00D1498A" w:rsidR="0075285B" w:rsidP="0075285B" w:rsidRDefault="0075285B">
            <w:pPr>
              <w:pStyle w:val="19anodst"/>
              <w:numPr>
                <w:ilvl w:val="0"/>
                <w:numId w:val="6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změnu telefonu</w:t>
            </w:r>
          </w:p>
          <w:p w:rsidRPr="00F0200D" w:rsidR="0075285B" w:rsidP="0075285B" w:rsidRDefault="0075285B">
            <w:pPr>
              <w:pStyle w:val="19anodst"/>
              <w:numPr>
                <w:ilvl w:val="0"/>
                <w:numId w:val="6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případnou </w:t>
            </w:r>
            <w:r w:rsidRPr="00D1498A">
              <w:rPr>
                <w:rFonts w:ascii="Calibri" w:hAnsi="Calibri" w:cs="Calibri"/>
                <w:bCs/>
                <w:color w:val="000000" w:themeColor="text1"/>
                <w:sz w:val="20"/>
              </w:rPr>
              <w:t>změn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u</w:t>
            </w:r>
            <w:r w:rsidRPr="00D1498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hesla</w:t>
            </w:r>
          </w:p>
        </w:tc>
      </w:tr>
      <w:tr w:rsidRPr="004F29F1" w:rsidR="005A4587" w:rsidTr="0075285B">
        <w:tc>
          <w:tcPr>
            <w:tcW w:w="10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Pr="004F29F1" w:rsidR="005A4587" w:rsidP="0075285B" w:rsidRDefault="005A4587">
            <w:pPr>
              <w:pStyle w:val="Obsahtabulky"/>
              <w:pBdr>
                <w:right w:val="single" w:color="auto" w:sz="4" w:space="1"/>
              </w:pBdr>
            </w:pPr>
            <w:r w:rsidRPr="001C7AE3">
              <w:rPr>
                <w:b/>
              </w:rPr>
              <w:t xml:space="preserve">Portál občana – </w:t>
            </w:r>
            <w:r w:rsidR="00D13B54">
              <w:rPr>
                <w:b/>
              </w:rPr>
              <w:t>Požadavky na intranetovou část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39.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Intranetová část obsahuje správu registrovaných občanů na portálu občana s možností nastavování vazeb na dané subjekty. Jeden uživatelský účet může mít přiřazeno více subjektů.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40.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Intranetová část obsahuje rozhraní pro možnost registrace občana na přepážce úřadu.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41.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Intranetová část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musí 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o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bsahovat vlastní </w:t>
            </w:r>
            <w:r w:rsidRPr="00487C3A">
              <w:rPr>
                <w:rFonts w:ascii="Calibri" w:hAnsi="Calibri" w:cs="Calibri"/>
                <w:bCs/>
                <w:color w:val="000000" w:themeColor="text1"/>
                <w:sz w:val="20"/>
              </w:rPr>
              <w:t>redakční systém pro vytváření, publikaci a správu článků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pro pověřené pracovníky zadavatele a to pro dané části portálu:</w:t>
            </w:r>
          </w:p>
          <w:p w:rsidR="0075285B" w:rsidP="0075285B" w:rsidRDefault="0075285B">
            <w:pPr>
              <w:pStyle w:val="19anodst"/>
              <w:numPr>
                <w:ilvl w:val="0"/>
                <w:numId w:val="7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Strom životních situací</w:t>
            </w:r>
          </w:p>
          <w:p w:rsidRPr="00487C3A" w:rsidR="0075285B" w:rsidP="0075285B" w:rsidRDefault="0075285B">
            <w:pPr>
              <w:pStyle w:val="19anodst"/>
              <w:numPr>
                <w:ilvl w:val="0"/>
                <w:numId w:val="7"/>
              </w:numPr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Aktuality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42.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Redakční systém musí obsahovat pro editaci textů standardní WYSIWYG editor s možností základního formátování textu (minimálně: styly nadpisů, tučné, kurzíva, tabulka), vložení obrázku a dokumentů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43.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7C3A" w:rsidR="0075285B" w:rsidP="0075285B" w:rsidRDefault="0075285B">
            <w:pPr>
              <w:pStyle w:val="19anodst"/>
              <w:pBdr>
                <w:right w:val="single" w:color="auto" w:sz="4" w:space="1"/>
              </w:pBdr>
              <w:spacing w:before="40"/>
              <w:jc w:val="left"/>
              <w:rPr>
                <w:rFonts w:ascii="Calibri" w:hAnsi="Calibri" w:cs="Calibri"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Zajišťuje ztotožnění subjektů v portálu se </w:t>
            </w:r>
            <w:proofErr w:type="gramStart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subjekty v IS</w:t>
            </w:r>
            <w:proofErr w:type="gramEnd"/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a následný export dat těchto subjektů do portálu pro jejich zobrazení v dané kategorii.</w:t>
            </w:r>
          </w:p>
        </w:tc>
      </w:tr>
      <w:tr w:rsidRPr="004F29F1" w:rsidR="00D13B54" w:rsidTr="0075285B">
        <w:tc>
          <w:tcPr>
            <w:tcW w:w="10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Pr="004F29F1" w:rsidR="00D13B54" w:rsidP="0075285B" w:rsidRDefault="00D13B54">
            <w:pPr>
              <w:pStyle w:val="Obsahtabulky"/>
              <w:pBdr>
                <w:right w:val="single" w:color="auto" w:sz="4" w:space="1"/>
              </w:pBdr>
            </w:pPr>
            <w:r w:rsidRPr="001C7AE3">
              <w:rPr>
                <w:b/>
              </w:rPr>
              <w:t>Portál občana</w:t>
            </w:r>
            <w:r>
              <w:rPr>
                <w:b/>
              </w:rPr>
              <w:t xml:space="preserve"> – Ostatní požadavky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53.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both"/>
            </w:pPr>
            <w:r>
              <w:t xml:space="preserve">Součástí dodávky je dodání komplexního </w:t>
            </w:r>
            <w:proofErr w:type="spellStart"/>
            <w:r>
              <w:t>elearningového</w:t>
            </w:r>
            <w:proofErr w:type="spellEnd"/>
            <w:r>
              <w:t xml:space="preserve"> kursu pro práci s Portálem občana. </w:t>
            </w:r>
            <w:proofErr w:type="spellStart"/>
            <w:r>
              <w:t>Elearningový</w:t>
            </w:r>
            <w:proofErr w:type="spellEnd"/>
            <w:r>
              <w:t xml:space="preserve"> kurs bude dodán bez licenčních omezení. Součástí dodávky bude webová aplikace, která umožní spuštění kursu pro uživatele. Zajištění spuštění kursu může být poskytnuto i jako služba (alespoň po dobu 2 let). 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lastRenderedPageBreak/>
              <w:t>54.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C46C6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i/>
                <w:iCs/>
                <w:kern w:val="1"/>
                <w:sz w:val="20"/>
                <w:szCs w:val="20"/>
                <w:lang w:eastAsia="cs-CZ"/>
              </w:rPr>
            </w:pP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Technická podpora systému bude pro nahlášení závad realizována s dostupností 24/7 – elektronickou cestou (</w:t>
            </w:r>
            <w:proofErr w:type="spellStart"/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service</w:t>
            </w:r>
            <w:proofErr w:type="spellEnd"/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desk</w:t>
            </w:r>
            <w:proofErr w:type="spellEnd"/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).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55.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C46C6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Technická podpora systému bude pro opravu závad realizována:</w:t>
            </w: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br/>
              <w:t>A. Kategorie vady „vysoká“ – oprava do 48 hodin od nahlášení</w:t>
            </w:r>
          </w:p>
          <w:p w:rsidRPr="00CC46C6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 xml:space="preserve">Vady zabraňující provozu, produkt není použitelný ve svých základních funkcích nebo se vyskytuje funkční závada znemožňující činnost systému. Tento stav může ohrozit běžný provoz Objednatele a nelze jej dočasně řešit organizačním opatřením. </w:t>
            </w:r>
          </w:p>
          <w:p w:rsidRPr="00CC46C6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B. Kategorie vady „střední“ – oprava do 10 dnů od nahlášení</w:t>
            </w:r>
          </w:p>
          <w:p w:rsidRPr="00CC46C6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 xml:space="preserve">Vady omezující provoz, funkčnost systému je ve svých funkcích degradována tak, že tento stav omezuje běžný provoz Objednatele. Jedná se také o vady způsobující problémy při užívání a provozování produktu nebo jeho části, ale umožňující provoz, jimiž způsobené problémy lze dočasně řešit organizačními opatřeními. </w:t>
            </w:r>
          </w:p>
          <w:p w:rsidRPr="00CC46C6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C. Kategorie vady „nízká“ – oprava do 20 dnů od nahlášení</w:t>
            </w:r>
          </w:p>
          <w:p w:rsidRPr="00CC46C6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 xml:space="preserve">Vady neomezující provoz, jedná se o drobné vady, které nespadají do kategorií „vysoká“ nebo „střední“. 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56.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C46C6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Součástí podpory je telefonická linka v režimu min. 5 x 8 (8 hodin v pracovní dny) v době od 0</w:t>
            </w:r>
            <w: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8</w:t>
            </w: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.00 do 1</w:t>
            </w:r>
            <w: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6</w:t>
            </w:r>
            <w:r w:rsidRPr="00CC46C6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.00 hodin.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57.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53340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E53340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Veškeré vlastnosti díla, včetně jeho update, legislativního update, upgrade a legislativního upgrade budou po celou dobu účinnosti této smlouvy odpovídat vždy aktuálním obecně platným právním předpisům ČR a platným standardům ISVS.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58.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53340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E53340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Implementace nesmí ohrozit ani omezit provoz zdrojových aplikací a databází.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59.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53340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E53340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 xml:space="preserve">Součástí implementace budou veškeré práce a služby nezbytné pro řádné a úplné zprovoznění díla včetně vytvoření dokumentace a implementačních postupů, které budou obsahovat jednotlivé kroky implementace a konfigurace všech částí umožňující přesné opakování postupů. 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60.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53340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E53340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Implementaci testovacího / školícího prostředí, vč. testovacích / školících dat.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61.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53340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E53340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Implementaci produktivního prostředí, vč. produkčních dat.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62.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53340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E53340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Plán školení, jako součást D</w:t>
            </w:r>
            <w: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etailního realizačního projektu (Cílový koncept)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63.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53340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E53340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Základní seznámení s funkčností dodávaného portálu zaměstnance pro členy projektového týmu zadavatele na začátku realizace díla (před zpracováním detailní analýzy a prováděcího projektu).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64.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53340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 w:rsidRPr="00E53340"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Dokumentace může být odevzdána v elektronické podobě</w:t>
            </w:r>
          </w:p>
        </w:tc>
      </w:tr>
      <w:tr w:rsidRPr="004F29F1" w:rsidR="0075285B" w:rsidTr="0075285B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5285B" w:rsidP="0075285B" w:rsidRDefault="0075285B">
            <w:pPr>
              <w:pStyle w:val="Obsahtabulky"/>
              <w:pBdr>
                <w:right w:val="single" w:color="auto" w:sz="4" w:space="1"/>
              </w:pBdr>
              <w:jc w:val="center"/>
            </w:pPr>
            <w:r>
              <w:t>65.</w:t>
            </w:r>
          </w:p>
        </w:tc>
        <w:tc>
          <w:tcPr>
            <w:tcW w:w="10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13B54" w:rsidR="0075285B" w:rsidP="0075285B" w:rsidRDefault="0075285B">
            <w:pPr>
              <w:pBdr>
                <w:right w:val="single" w:color="auto" w:sz="4" w:space="1"/>
              </w:pBd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</w:pPr>
            <w: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 xml:space="preserve">Požadavky uchazeče na virtuální servery (dle popisu výchozího stavu, </w:t>
            </w:r>
            <w:proofErr w:type="gramStart"/>
            <w: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>viz.</w:t>
            </w:r>
            <w:proofErr w:type="gramEnd"/>
            <w:r>
              <w:rPr>
                <w:rFonts w:ascii="Calibri" w:hAnsi="Calibri" w:eastAsia="DejaVu Sans" w:cs="Calibri"/>
                <w:kern w:val="1"/>
                <w:sz w:val="20"/>
                <w:szCs w:val="20"/>
                <w:lang w:eastAsia="cs-CZ"/>
              </w:rPr>
              <w:t xml:space="preserve"> Příloha 3).</w:t>
            </w:r>
          </w:p>
        </w:tc>
      </w:tr>
    </w:tbl>
    <w:p w:rsidR="00AB1175" w:rsidP="003C2610" w:rsidRDefault="00AB1175">
      <w:pPr>
        <w:tabs>
          <w:tab w:val="left" w:pos="2414"/>
        </w:tabs>
        <w:rPr>
          <w:lang w:eastAsia="cs-CZ"/>
        </w:rPr>
      </w:pPr>
    </w:p>
    <w:sectPr w:rsidR="00AB1175" w:rsidSect="00236D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C50A7" w:rsidP="00EB32AB" w:rsidRDefault="00BC50A7">
      <w:pPr>
        <w:spacing w:after="0"/>
      </w:pPr>
      <w:r>
        <w:separator/>
      </w:r>
    </w:p>
  </w:endnote>
  <w:endnote w:type="continuationSeparator" w:id="0">
    <w:p w:rsidR="00BC50A7" w:rsidP="00EB32AB" w:rsidRDefault="00BC50A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8844037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Pr="00EB32AB" w:rsidR="00EB32AB" w:rsidRDefault="00EB32AB">
            <w:pPr>
              <w:pStyle w:val="Zpat"/>
            </w:pPr>
            <w:proofErr w:type="gramStart"/>
            <w:r w:rsidRPr="00EB32AB">
              <w:t xml:space="preserve">Stránka </w:t>
            </w:r>
            <w:proofErr w:type="gramEnd"/>
            <w:r w:rsidRPr="00EB32AB">
              <w:rPr>
                <w:bCs/>
                <w:sz w:val="24"/>
              </w:rPr>
              <w:fldChar w:fldCharType="begin"/>
            </w:r>
            <w:r w:rsidRPr="00EB32AB">
              <w:rPr>
                <w:bCs/>
              </w:rPr>
              <w:instrText>PAGE</w:instrText>
            </w:r>
            <w:r w:rsidRPr="00EB32AB">
              <w:rPr>
                <w:bCs/>
                <w:sz w:val="24"/>
              </w:rPr>
              <w:fldChar w:fldCharType="separate"/>
            </w:r>
            <w:r w:rsidR="004721A2">
              <w:rPr>
                <w:bCs/>
                <w:noProof/>
              </w:rPr>
              <w:t>2</w:t>
            </w:r>
            <w:r w:rsidRPr="00EB32AB">
              <w:rPr>
                <w:bCs/>
                <w:sz w:val="24"/>
              </w:rPr>
              <w:fldChar w:fldCharType="end"/>
            </w:r>
            <w:proofErr w:type="gramStart"/>
            <w:r w:rsidRPr="00EB32AB">
              <w:t xml:space="preserve"> z </w:t>
            </w:r>
            <w:proofErr w:type="gramEnd"/>
            <w:r w:rsidRPr="00EB32AB">
              <w:rPr>
                <w:bCs/>
                <w:sz w:val="24"/>
              </w:rPr>
              <w:fldChar w:fldCharType="begin"/>
            </w:r>
            <w:r w:rsidRPr="00EB32AB">
              <w:rPr>
                <w:bCs/>
              </w:rPr>
              <w:instrText>NUMPAGES</w:instrText>
            </w:r>
            <w:r w:rsidRPr="00EB32AB">
              <w:rPr>
                <w:bCs/>
                <w:sz w:val="24"/>
              </w:rPr>
              <w:fldChar w:fldCharType="separate"/>
            </w:r>
            <w:r w:rsidR="004721A2">
              <w:rPr>
                <w:bCs/>
                <w:noProof/>
              </w:rPr>
              <w:t>4</w:t>
            </w:r>
            <w:r w:rsidRPr="00EB32AB">
              <w:rPr>
                <w:bCs/>
                <w:sz w:val="24"/>
              </w:rPr>
              <w:fldChar w:fldCharType="end"/>
            </w:r>
          </w:p>
        </w:sdtContent>
      </w:sdt>
    </w:sdtContent>
  </w:sdt>
  <w:p w:rsidR="00EB32AB" w:rsidRDefault="00EB32A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C50A7" w:rsidP="00EB32AB" w:rsidRDefault="00BC50A7">
      <w:pPr>
        <w:spacing w:after="0"/>
      </w:pPr>
      <w:r>
        <w:separator/>
      </w:r>
    </w:p>
  </w:footnote>
  <w:footnote w:type="continuationSeparator" w:id="0">
    <w:p w:rsidR="00BC50A7" w:rsidP="00EB32AB" w:rsidRDefault="00BC50A7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76A6553"/>
    <w:multiLevelType w:val="hybridMultilevel"/>
    <w:tmpl w:val="BE8C8B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2D605B"/>
    <w:multiLevelType w:val="hybridMultilevel"/>
    <w:tmpl w:val="C220C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1067"/>
    <w:multiLevelType w:val="hybridMultilevel"/>
    <w:tmpl w:val="E9CCED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F314540"/>
    <w:multiLevelType w:val="hybridMultilevel"/>
    <w:tmpl w:val="F96EB776"/>
    <w:lvl w:ilvl="0" w:tplc="7D2A2CE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S ??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2541EA1"/>
    <w:multiLevelType w:val="hybridMultilevel"/>
    <w:tmpl w:val="F870757C"/>
    <w:lvl w:ilvl="0" w:tplc="7250DDD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54C06A4"/>
    <w:multiLevelType w:val="multilevel"/>
    <w:tmpl w:val="29E23664"/>
    <w:lvl w:ilvl="0">
      <w:start w:val="1"/>
      <w:numFmt w:val="decimal"/>
      <w:pStyle w:val="Normln-Psmeno"/>
      <w:lvlText w:val="%1."/>
      <w:lvlJc w:val="left"/>
      <w:pPr>
        <w:tabs>
          <w:tab w:val="num" w:pos="1701"/>
        </w:tabs>
        <w:ind w:left="1701" w:hanging="567"/>
      </w:pPr>
      <w:rPr>
        <w:rFonts w:hint="default" w:cs="Times New Roman"/>
      </w:rPr>
    </w:lvl>
    <w:lvl w:ilvl="1">
      <w:start w:val="1"/>
      <w:numFmt w:val="decimal"/>
      <w:pStyle w:val="Nadpis2"/>
      <w:lvlText w:val="%2."/>
      <w:lvlJc w:val="left"/>
      <w:pPr>
        <w:tabs>
          <w:tab w:val="num" w:pos="4395"/>
        </w:tabs>
        <w:ind w:left="4395" w:hanging="567"/>
      </w:pPr>
      <w:rPr>
        <w:rFonts w:hint="default" w:cs="Times New Roman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567"/>
        </w:tabs>
        <w:ind w:left="0" w:firstLine="0"/>
      </w:pPr>
      <w:rPr>
        <w:rFonts w:hint="default" w:cs="Times New Roman"/>
      </w:rPr>
    </w:lvl>
    <w:lvl w:ilvl="4">
      <w:start w:val="1"/>
      <w:numFmt w:val="lowerLetter"/>
      <w:pStyle w:val="Normln-Psmeno"/>
      <w:lvlText w:val="(%5)"/>
      <w:lvlJc w:val="left"/>
      <w:pPr>
        <w:ind w:left="1134" w:hanging="850"/>
      </w:pPr>
      <w:rPr>
        <w:rFonts w:hint="default" w:cs="Times New Roman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1701"/>
        </w:tabs>
        <w:ind w:left="1134" w:firstLine="0"/>
      </w:pPr>
      <w:rPr>
        <w:rFonts w:hint="default"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 w:cs="Times New Roman"/>
      </w:rPr>
    </w:lvl>
  </w:abstractNum>
  <w:abstractNum w:abstractNumId="6">
    <w:nsid w:val="55D21818"/>
    <w:multiLevelType w:val="hybridMultilevel"/>
    <w:tmpl w:val="0ABAFE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B406B23"/>
    <w:multiLevelType w:val="hybridMultilevel"/>
    <w:tmpl w:val="BA8867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7777097"/>
    <w:multiLevelType w:val="hybridMultilevel"/>
    <w:tmpl w:val="9E2431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C553B"/>
    <w:multiLevelType w:val="hybridMultilevel"/>
    <w:tmpl w:val="0A5A9C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DD"/>
    <w:rsid w:val="00004CD0"/>
    <w:rsid w:val="00027BDD"/>
    <w:rsid w:val="000460B5"/>
    <w:rsid w:val="000E12FF"/>
    <w:rsid w:val="00194AB0"/>
    <w:rsid w:val="001C7AE3"/>
    <w:rsid w:val="001E5EFA"/>
    <w:rsid w:val="00207176"/>
    <w:rsid w:val="00236D28"/>
    <w:rsid w:val="00294113"/>
    <w:rsid w:val="002C15DC"/>
    <w:rsid w:val="002F2EE3"/>
    <w:rsid w:val="003B1C67"/>
    <w:rsid w:val="003C2610"/>
    <w:rsid w:val="003D1E28"/>
    <w:rsid w:val="003F5083"/>
    <w:rsid w:val="004650C2"/>
    <w:rsid w:val="004721A2"/>
    <w:rsid w:val="004E6648"/>
    <w:rsid w:val="004E684C"/>
    <w:rsid w:val="00504E6E"/>
    <w:rsid w:val="005710F2"/>
    <w:rsid w:val="00581D37"/>
    <w:rsid w:val="005A0BD0"/>
    <w:rsid w:val="005A4587"/>
    <w:rsid w:val="005F59E8"/>
    <w:rsid w:val="00604E57"/>
    <w:rsid w:val="00627D36"/>
    <w:rsid w:val="00680596"/>
    <w:rsid w:val="006A52BF"/>
    <w:rsid w:val="0075285B"/>
    <w:rsid w:val="007D5121"/>
    <w:rsid w:val="00804324"/>
    <w:rsid w:val="00833B42"/>
    <w:rsid w:val="00871733"/>
    <w:rsid w:val="008B0AA1"/>
    <w:rsid w:val="0090210D"/>
    <w:rsid w:val="00910779"/>
    <w:rsid w:val="009232AC"/>
    <w:rsid w:val="00924AAD"/>
    <w:rsid w:val="0095491C"/>
    <w:rsid w:val="00955656"/>
    <w:rsid w:val="009B6C92"/>
    <w:rsid w:val="00A27E92"/>
    <w:rsid w:val="00AB1175"/>
    <w:rsid w:val="00AE096A"/>
    <w:rsid w:val="00B70899"/>
    <w:rsid w:val="00BC50A7"/>
    <w:rsid w:val="00BF3EF4"/>
    <w:rsid w:val="00C46563"/>
    <w:rsid w:val="00C555A8"/>
    <w:rsid w:val="00CC248C"/>
    <w:rsid w:val="00CC46C6"/>
    <w:rsid w:val="00D13B54"/>
    <w:rsid w:val="00D80753"/>
    <w:rsid w:val="00D92439"/>
    <w:rsid w:val="00E44170"/>
    <w:rsid w:val="00E53340"/>
    <w:rsid w:val="00EB32AB"/>
    <w:rsid w:val="00F46F47"/>
    <w:rsid w:val="00F80F5D"/>
    <w:rsid w:val="00F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7BDD"/>
    <w:pPr>
      <w:spacing w:after="120" w:line="240" w:lineRule="auto"/>
      <w:jc w:val="both"/>
    </w:pPr>
    <w:rPr>
      <w:rFonts w:ascii="Times New Roman" w:hAnsi="Times New Roman" w:eastAsia="MS ??" w:cs="Times New Roman"/>
      <w:szCs w:val="24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rsid w:val="00027BDD"/>
    <w:pPr>
      <w:keepNext/>
      <w:numPr>
        <w:ilvl w:val="1"/>
        <w:numId w:val="1"/>
      </w:numPr>
      <w:tabs>
        <w:tab w:val="clear" w:pos="4395"/>
        <w:tab w:val="left" w:pos="1418"/>
        <w:tab w:val="num" w:pos="1560"/>
      </w:tabs>
      <w:spacing w:before="240" w:after="60"/>
      <w:ind w:left="15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rsid w:val="00027BD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9"/>
    <w:rsid w:val="00027BDD"/>
    <w:rPr>
      <w:rFonts w:ascii="Arial" w:hAnsi="Arial" w:eastAsia="MS ??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9"/>
    <w:rsid w:val="00027BDD"/>
    <w:rPr>
      <w:rFonts w:ascii="Arial" w:hAnsi="Arial" w:eastAsia="MS ??" w:cs="Times New Roman"/>
      <w:b/>
      <w:bCs/>
      <w:sz w:val="26"/>
      <w:szCs w:val="26"/>
    </w:rPr>
  </w:style>
  <w:style w:type="paragraph" w:styleId="Normln-Odstavec" w:customStyle="true">
    <w:name w:val="Normální - Odstavec"/>
    <w:basedOn w:val="Normln"/>
    <w:link w:val="Normln-OdstavecCharChar"/>
    <w:uiPriority w:val="99"/>
    <w:rsid w:val="00027BDD"/>
    <w:pPr>
      <w:numPr>
        <w:ilvl w:val="3"/>
        <w:numId w:val="1"/>
      </w:numPr>
    </w:pPr>
    <w:rPr>
      <w:lang w:val="x-none" w:eastAsia="cs-CZ"/>
    </w:rPr>
  </w:style>
  <w:style w:type="paragraph" w:styleId="Normln-Psmeno" w:customStyle="true">
    <w:name w:val="Normální - Písmeno"/>
    <w:basedOn w:val="Normln"/>
    <w:uiPriority w:val="99"/>
    <w:rsid w:val="00027BDD"/>
    <w:pPr>
      <w:numPr>
        <w:ilvl w:val="4"/>
        <w:numId w:val="1"/>
      </w:numPr>
    </w:pPr>
    <w:rPr>
      <w:lang w:eastAsia="cs-CZ"/>
    </w:rPr>
  </w:style>
  <w:style w:type="paragraph" w:styleId="Normln-msk" w:customStyle="true">
    <w:name w:val="Normální - Římská"/>
    <w:basedOn w:val="Normln"/>
    <w:uiPriority w:val="99"/>
    <w:rsid w:val="00027BDD"/>
    <w:pPr>
      <w:numPr>
        <w:ilvl w:val="5"/>
        <w:numId w:val="1"/>
      </w:numPr>
      <w:tabs>
        <w:tab w:val="left" w:pos="1985"/>
      </w:tabs>
    </w:pPr>
  </w:style>
  <w:style w:type="character" w:styleId="Normln-OdstavecCharChar" w:customStyle="true">
    <w:name w:val="Normální - Odstavec Char Char"/>
    <w:link w:val="Normln-Odstavec"/>
    <w:uiPriority w:val="99"/>
    <w:locked/>
    <w:rsid w:val="00027BDD"/>
    <w:rPr>
      <w:rFonts w:ascii="Times New Roman" w:hAnsi="Times New Roman" w:eastAsia="MS ??" w:cs="Times New Roman"/>
      <w:szCs w:val="24"/>
      <w:lang w:val="x-none" w:eastAsia="cs-CZ"/>
    </w:rPr>
  </w:style>
  <w:style w:type="paragraph" w:styleId="Obsahtabulky" w:customStyle="true">
    <w:name w:val="Obsah tabulky"/>
    <w:basedOn w:val="Normln"/>
    <w:rsid w:val="00027BDD"/>
    <w:pPr>
      <w:widowControl w:val="false"/>
      <w:suppressLineNumbers/>
      <w:suppressAutoHyphens/>
      <w:spacing w:after="0"/>
      <w:jc w:val="left"/>
    </w:pPr>
    <w:rPr>
      <w:rFonts w:ascii="Calibri" w:hAnsi="Calibri" w:eastAsia="DejaVu Sans" w:cs="Calibri"/>
      <w:kern w:val="1"/>
      <w:sz w:val="20"/>
      <w:szCs w:val="20"/>
      <w:lang w:eastAsia="cs-CZ"/>
    </w:rPr>
  </w:style>
  <w:style w:type="paragraph" w:styleId="Nadpistabulky" w:customStyle="true">
    <w:name w:val="Nadpis tabulky"/>
    <w:basedOn w:val="Obsahtabulky"/>
    <w:rsid w:val="00027BDD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55656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CC46C6"/>
    <w:rPr>
      <w:i/>
      <w:iCs/>
      <w:color w:val="404040" w:themeColor="text1" w:themeTint="BF"/>
    </w:rPr>
  </w:style>
  <w:style w:type="paragraph" w:styleId="19anodst" w:customStyle="true">
    <w:name w:val="19an_odst"/>
    <w:basedOn w:val="Normln"/>
    <w:rsid w:val="009232AC"/>
    <w:pPr>
      <w:tabs>
        <w:tab w:val="left" w:pos="567"/>
        <w:tab w:val="right" w:pos="9639"/>
      </w:tabs>
      <w:spacing w:after="60"/>
    </w:pPr>
    <w:rPr>
      <w:rFonts w:ascii="Arial Narrow" w:hAnsi="Arial Narrow" w:eastAsia="Times New Roman"/>
      <w:sz w:val="18"/>
      <w:szCs w:val="20"/>
      <w:lang w:eastAsia="cs-CZ"/>
    </w:rPr>
  </w:style>
  <w:style w:type="character" w:styleId="602seznambulletChar" w:customStyle="true">
    <w:name w:val="602_seznam_bullet Char"/>
    <w:basedOn w:val="Standardnpsmoodstavce"/>
    <w:link w:val="602seznambullet"/>
    <w:locked/>
    <w:rsid w:val="00D13B54"/>
    <w:rPr>
      <w:rFonts w:ascii="Trebuchet MS" w:hAnsi="Trebuchet MS"/>
      <w:color w:val="666666"/>
    </w:rPr>
  </w:style>
  <w:style w:type="paragraph" w:styleId="602seznambullet" w:customStyle="true">
    <w:name w:val="602_seznam_bullet"/>
    <w:basedOn w:val="Normln"/>
    <w:link w:val="602seznambulletChar"/>
    <w:qFormat/>
    <w:rsid w:val="00D13B54"/>
    <w:pPr>
      <w:spacing w:after="60" w:line="260" w:lineRule="atLeast"/>
      <w:jc w:val="left"/>
    </w:pPr>
    <w:rPr>
      <w:rFonts w:ascii="Trebuchet MS" w:hAnsi="Trebuchet MS" w:eastAsiaTheme="minorHAnsi" w:cstheme="minorBidi"/>
      <w:color w:val="666666"/>
      <w:szCs w:val="22"/>
    </w:rPr>
  </w:style>
  <w:style w:type="table" w:styleId="Mkatabulky">
    <w:name w:val="Table Grid"/>
    <w:basedOn w:val="Normlntabulka"/>
    <w:uiPriority w:val="59"/>
    <w:rsid w:val="00504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0A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AA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B0AA1"/>
    <w:rPr>
      <w:rFonts w:ascii="Times New Roman" w:hAnsi="Times New Roman" w:eastAsia="MS ??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AA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B0AA1"/>
    <w:rPr>
      <w:rFonts w:ascii="Times New Roman" w:hAnsi="Times New Roman" w:eastAsia="MS ??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AA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B0AA1"/>
    <w:rPr>
      <w:rFonts w:ascii="Tahoma" w:hAnsi="Tahoma" w:eastAsia="MS ??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B32A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EB32AB"/>
    <w:rPr>
      <w:rFonts w:ascii="Times New Roman" w:hAnsi="Times New Roman" w:eastAsia="MS ??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EB32AB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EB32AB"/>
    <w:rPr>
      <w:rFonts w:ascii="Times New Roman" w:hAnsi="Times New Roman" w:eastAsia="MS ??" w:cs="Times New Roman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7BDD"/>
    <w:pPr>
      <w:spacing w:after="120" w:line="240" w:lineRule="auto"/>
      <w:jc w:val="both"/>
    </w:pPr>
    <w:rPr>
      <w:rFonts w:ascii="Times New Roman" w:cs="Times New Roman" w:eastAsia="MS ??" w:hAnsi="Times New Roman"/>
      <w:szCs w:val="24"/>
    </w:rPr>
  </w:style>
  <w:style w:styleId="Nadpis2" w:type="paragraph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rsid w:val="00027BDD"/>
    <w:pPr>
      <w:keepNext/>
      <w:numPr>
        <w:ilvl w:val="1"/>
        <w:numId w:val="1"/>
      </w:numPr>
      <w:tabs>
        <w:tab w:pos="4395" w:val="clear"/>
        <w:tab w:pos="1418" w:val="left"/>
        <w:tab w:pos="1560" w:val="num"/>
      </w:tabs>
      <w:spacing w:after="60" w:before="240"/>
      <w:ind w:left="1560"/>
      <w:outlineLvl w:val="1"/>
    </w:pPr>
    <w:rPr>
      <w:rFonts w:ascii="Arial" w:hAnsi="Arial"/>
      <w:b/>
      <w:bCs/>
      <w:i/>
      <w:iCs/>
      <w:sz w:val="28"/>
      <w:szCs w:val="28"/>
    </w:rPr>
  </w:style>
  <w:style w:styleId="Nadpis3" w:type="paragraph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rsid w:val="00027BDD"/>
    <w:pPr>
      <w:keepNext/>
      <w:numPr>
        <w:ilvl w:val="2"/>
        <w:numId w:val="1"/>
      </w:numPr>
      <w:spacing w:after="60" w:before="240"/>
      <w:outlineLvl w:val="2"/>
    </w:pPr>
    <w:rPr>
      <w:rFonts w:ascii="Arial" w:hAnsi="Arial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9"/>
    <w:rsid w:val="00027BDD"/>
    <w:rPr>
      <w:rFonts w:ascii="Arial" w:cs="Times New Roman" w:eastAsia="MS ??" w:hAnsi="Arial"/>
      <w:b/>
      <w:bCs/>
      <w:i/>
      <w:iCs/>
      <w:sz w:val="28"/>
      <w:szCs w:val="28"/>
    </w:rPr>
  </w:style>
  <w:style w:customStyle="1" w:styleId="Nadpis3Char" w:type="characte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9"/>
    <w:rsid w:val="00027BDD"/>
    <w:rPr>
      <w:rFonts w:ascii="Arial" w:cs="Times New Roman" w:eastAsia="MS ??" w:hAnsi="Arial"/>
      <w:b/>
      <w:bCs/>
      <w:sz w:val="26"/>
      <w:szCs w:val="26"/>
    </w:rPr>
  </w:style>
  <w:style w:customStyle="1" w:styleId="Normln-Odstavec" w:type="paragraph">
    <w:name w:val="Normální - Odstavec"/>
    <w:basedOn w:val="Normln"/>
    <w:link w:val="Normln-OdstavecCharChar"/>
    <w:uiPriority w:val="99"/>
    <w:rsid w:val="00027BDD"/>
    <w:pPr>
      <w:numPr>
        <w:ilvl w:val="3"/>
        <w:numId w:val="1"/>
      </w:numPr>
    </w:pPr>
    <w:rPr>
      <w:lang w:eastAsia="cs-CZ" w:val="x-none"/>
    </w:rPr>
  </w:style>
  <w:style w:customStyle="1" w:styleId="Normln-Psmeno" w:type="paragraph">
    <w:name w:val="Normální - Písmeno"/>
    <w:basedOn w:val="Normln"/>
    <w:uiPriority w:val="99"/>
    <w:rsid w:val="00027BDD"/>
    <w:pPr>
      <w:numPr>
        <w:ilvl w:val="4"/>
        <w:numId w:val="1"/>
      </w:numPr>
    </w:pPr>
    <w:rPr>
      <w:lang w:eastAsia="cs-CZ"/>
    </w:rPr>
  </w:style>
  <w:style w:customStyle="1" w:styleId="Normln-msk" w:type="paragraph">
    <w:name w:val="Normální - Římská"/>
    <w:basedOn w:val="Normln"/>
    <w:uiPriority w:val="99"/>
    <w:rsid w:val="00027BDD"/>
    <w:pPr>
      <w:numPr>
        <w:ilvl w:val="5"/>
        <w:numId w:val="1"/>
      </w:numPr>
      <w:tabs>
        <w:tab w:pos="1985" w:val="left"/>
      </w:tabs>
    </w:pPr>
  </w:style>
  <w:style w:customStyle="1" w:styleId="Normln-OdstavecCharChar" w:type="character">
    <w:name w:val="Normální - Odstavec Char Char"/>
    <w:link w:val="Normln-Odstavec"/>
    <w:uiPriority w:val="99"/>
    <w:locked/>
    <w:rsid w:val="00027BDD"/>
    <w:rPr>
      <w:rFonts w:ascii="Times New Roman" w:cs="Times New Roman" w:eastAsia="MS ??" w:hAnsi="Times New Roman"/>
      <w:szCs w:val="24"/>
      <w:lang w:eastAsia="cs-CZ" w:val="x-none"/>
    </w:rPr>
  </w:style>
  <w:style w:customStyle="1" w:styleId="Obsahtabulky" w:type="paragraph">
    <w:name w:val="Obsah tabulky"/>
    <w:basedOn w:val="Normln"/>
    <w:rsid w:val="00027BDD"/>
    <w:pPr>
      <w:widowControl w:val="0"/>
      <w:suppressLineNumbers/>
      <w:suppressAutoHyphens/>
      <w:spacing w:after="0"/>
      <w:jc w:val="left"/>
    </w:pPr>
    <w:rPr>
      <w:rFonts w:ascii="Calibri" w:cs="Calibri" w:eastAsia="DejaVu Sans" w:hAnsi="Calibri"/>
      <w:kern w:val="1"/>
      <w:sz w:val="20"/>
      <w:szCs w:val="20"/>
      <w:lang w:eastAsia="cs-CZ"/>
    </w:rPr>
  </w:style>
  <w:style w:customStyle="1" w:styleId="Nadpistabulky" w:type="paragraph">
    <w:name w:val="Nadpis tabulky"/>
    <w:basedOn w:val="Obsahtabulky"/>
    <w:rsid w:val="00027BDD"/>
    <w:pPr>
      <w:jc w:val="center"/>
    </w:pPr>
    <w:rPr>
      <w:b/>
      <w:bCs/>
    </w:rPr>
  </w:style>
  <w:style w:styleId="Odstavecseseznamem" w:type="paragraph">
    <w:name w:val="List Paragraph"/>
    <w:basedOn w:val="Normln"/>
    <w:uiPriority w:val="34"/>
    <w:qFormat/>
    <w:rsid w:val="00955656"/>
    <w:pPr>
      <w:ind w:left="720"/>
      <w:contextualSpacing/>
    </w:pPr>
  </w:style>
  <w:style w:styleId="Zdraznnjemn" w:type="character">
    <w:name w:val="Subtle Emphasis"/>
    <w:basedOn w:val="Standardnpsmoodstavce"/>
    <w:uiPriority w:val="19"/>
    <w:qFormat/>
    <w:rsid w:val="00CC46C6"/>
    <w:rPr>
      <w:i/>
      <w:iCs/>
      <w:color w:themeColor="text1" w:themeTint="BF" w:val="404040"/>
    </w:rPr>
  </w:style>
  <w:style w:customStyle="1" w:styleId="19anodst" w:type="paragraph">
    <w:name w:val="19an_odst"/>
    <w:basedOn w:val="Normln"/>
    <w:rsid w:val="009232AC"/>
    <w:pPr>
      <w:tabs>
        <w:tab w:pos="567" w:val="left"/>
        <w:tab w:pos="9639" w:val="right"/>
      </w:tabs>
      <w:spacing w:after="60"/>
    </w:pPr>
    <w:rPr>
      <w:rFonts w:ascii="Arial Narrow" w:eastAsia="Times New Roman" w:hAnsi="Arial Narrow"/>
      <w:sz w:val="18"/>
      <w:szCs w:val="20"/>
      <w:lang w:eastAsia="cs-CZ"/>
    </w:rPr>
  </w:style>
  <w:style w:customStyle="1" w:styleId="602seznambulletChar" w:type="character">
    <w:name w:val="602_seznam_bullet Char"/>
    <w:basedOn w:val="Standardnpsmoodstavce"/>
    <w:link w:val="602seznambullet"/>
    <w:locked/>
    <w:rsid w:val="00D13B54"/>
    <w:rPr>
      <w:rFonts w:ascii="Trebuchet MS" w:hAnsi="Trebuchet MS"/>
      <w:color w:val="666666"/>
    </w:rPr>
  </w:style>
  <w:style w:customStyle="1" w:styleId="602seznambullet" w:type="paragraph">
    <w:name w:val="602_seznam_bullet"/>
    <w:basedOn w:val="Normln"/>
    <w:link w:val="602seznambulletChar"/>
    <w:qFormat/>
    <w:rsid w:val="00D13B54"/>
    <w:pPr>
      <w:spacing w:after="60" w:line="260" w:lineRule="atLeast"/>
      <w:jc w:val="left"/>
    </w:pPr>
    <w:rPr>
      <w:rFonts w:ascii="Trebuchet MS" w:cstheme="minorBidi" w:eastAsiaTheme="minorHAnsi" w:hAnsi="Trebuchet MS"/>
      <w:color w:val="666666"/>
      <w:szCs w:val="22"/>
    </w:rPr>
  </w:style>
  <w:style w:styleId="Mkatabulky" w:type="table">
    <w:name w:val="Table Grid"/>
    <w:basedOn w:val="Normlntabulka"/>
    <w:uiPriority w:val="59"/>
    <w:rsid w:val="00504E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kaznakoment" w:type="character">
    <w:name w:val="annotation reference"/>
    <w:basedOn w:val="Standardnpsmoodstavce"/>
    <w:uiPriority w:val="99"/>
    <w:semiHidden/>
    <w:unhideWhenUsed/>
    <w:rsid w:val="008B0AA1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B0AA1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B0AA1"/>
    <w:rPr>
      <w:rFonts w:ascii="Times New Roman" w:cs="Times New Roman" w:eastAsia="MS ??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B0AA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B0AA1"/>
    <w:rPr>
      <w:rFonts w:ascii="Times New Roman" w:cs="Times New Roman" w:eastAsia="MS ??" w:hAnsi="Times New Roman"/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B0AA1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B0AA1"/>
    <w:rPr>
      <w:rFonts w:ascii="Tahoma" w:cs="Tahoma" w:eastAsia="MS ??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EB32AB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EB32AB"/>
    <w:rPr>
      <w:rFonts w:ascii="Times New Roman" w:cs="Times New Roman" w:eastAsia="MS ??" w:hAnsi="Times New Roman"/>
      <w:szCs w:val="24"/>
    </w:rPr>
  </w:style>
  <w:style w:styleId="Zpat" w:type="paragraph">
    <w:name w:val="footer"/>
    <w:basedOn w:val="Normln"/>
    <w:link w:val="ZpatChar"/>
    <w:uiPriority w:val="99"/>
    <w:unhideWhenUsed/>
    <w:rsid w:val="00EB32AB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EB32AB"/>
    <w:rPr>
      <w:rFonts w:ascii="Times New Roman" w:cs="Times New Roman" w:eastAsia="MS ??" w:hAnsi="Times New Roman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80636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1462</properties:Words>
  <properties:Characters>8627</properties:Characters>
  <properties:Lines>71</properties:Lines>
  <properties:Paragraphs>20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2019-10-16T10:47:00Z</dcterms:created>
  <dc:creator/>
  <cp:lastModifiedBy/>
  <cp:lastPrinted>2019-10-17T11:18:00Z</cp:lastPrinted>
  <dcterms:modified xmlns:xsi="http://www.w3.org/2001/XMLSchema-instance" xsi:type="dcterms:W3CDTF">2019-10-17T11:19:00Z</dcterms:modified>
  <cp:revision>5</cp:revision>
</cp:coreProperties>
</file>