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>dle § 4b ZoSZ</w:t>
      </w:r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>dle § 4b ZoSZ</w:t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Pr="00ED7538">
        <w:rPr>
          <w:rFonts w:cs="Calibri" w:asciiTheme="minorHAnsi" w:hAnsiTheme="minorHAnsi"/>
          <w:b/>
        </w:rPr>
        <w:t xml:space="preserve">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D73DB5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</w:t>
            </w:r>
            <w:r w:rsidR="00BB675E">
              <w:rPr>
                <w:rFonts w:cs="Calibri"/>
              </w:rPr>
              <w:t>20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D73DB5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 xml:space="preserve">– část </w:t>
      </w:r>
      <w:r w:rsidR="0097288E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 není dodavatel, který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e) je v likvidaci, proti němuž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</w:t>
      </w:r>
      <w:bookmarkStart w:name="_GoBack" w:id="0"/>
      <w:bookmarkEnd w:id="0"/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09"/>
        <w:gridCol w:w="2977"/>
        <w:gridCol w:w="4427"/>
      </w:tblGrid>
      <w:tr w:rsidRPr="00655A3B" w:rsidR="00655A3B" w:rsidTr="00655A3B">
        <w:tc>
          <w:tcPr>
            <w:tcW w:w="1809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977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(dd.mm.rrrr</w:t>
            </w:r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809" w:type="dxa"/>
            <w:vMerge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97288E" w:rsidP="00B55993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B55993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(dd.mm.rr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97288E" w:rsidP="00992BA6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(dd.mm.rr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97288E" w:rsidTr="00655A3B">
        <w:tc>
          <w:tcPr>
            <w:tcW w:w="1951" w:type="dxa"/>
            <w:vMerge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97288E" w:rsidP="00992BA6" w:rsidRDefault="0097288E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97288E" w:rsidP="00992BA6" w:rsidRDefault="00D73DB5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97288E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97288E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D73DB5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dne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</w:t>
      </w:r>
      <w:r w:rsidR="00BB675E">
        <w:rPr>
          <w:rFonts w:cs="Calibri"/>
        </w:rPr>
        <w:t>20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>dle §4b ZoSZ</w:t>
      </w:r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C1985">
        <w:rPr>
          <w:rFonts w:cs="Calibri" w:asciiTheme="minorHAnsi" w:hAnsiTheme="minorHAnsi"/>
          <w:b/>
        </w:rPr>
        <w:t xml:space="preserve">– část </w:t>
      </w:r>
      <w:r w:rsidR="0097288E">
        <w:rPr>
          <w:rFonts w:cs="Calibri" w:asciiTheme="minorHAnsi" w:hAnsiTheme="minorHAnsi"/>
          <w:b/>
        </w:rPr>
        <w:t>V</w:t>
      </w:r>
      <w:r w:rsidR="00CC1985">
        <w:rPr>
          <w:rFonts w:cs="Calibri" w:asciiTheme="minorHAnsi" w:hAnsiTheme="minorHAnsi"/>
          <w:b/>
        </w:rPr>
        <w:t>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D73DB5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dne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</w:t>
      </w:r>
      <w:r w:rsidR="00BB675E">
        <w:rPr>
          <w:rFonts w:cs="Calibri"/>
        </w:rPr>
        <w:t>20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A2C06" w:rsidP="000A0E36" w:rsidRDefault="003A2C06">
      <w:pPr>
        <w:spacing w:after="0" w:line="240" w:lineRule="auto"/>
      </w:pPr>
      <w:r>
        <w:separator/>
      </w:r>
    </w:p>
  </w:endnote>
  <w:endnote w:type="continuationSeparator" w:id="0">
    <w:p w:rsidR="003A2C06" w:rsidP="000A0E36" w:rsidRDefault="003A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A2C06" w:rsidP="000A0E36" w:rsidRDefault="003A2C06">
      <w:pPr>
        <w:spacing w:after="0" w:line="240" w:lineRule="auto"/>
      </w:pPr>
      <w:r>
        <w:separator/>
      </w:r>
    </w:p>
  </w:footnote>
  <w:footnote w:type="continuationSeparator" w:id="0">
    <w:p w:rsidR="003A2C06" w:rsidP="000A0E36" w:rsidRDefault="003A2C06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A2BBF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0D2D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6C2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2C06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2E9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23B7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81820"/>
    <w:rsid w:val="005A10CA"/>
    <w:rsid w:val="005A150F"/>
    <w:rsid w:val="005A1C44"/>
    <w:rsid w:val="005A241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7288E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946A8"/>
    <w:rsid w:val="00A974D0"/>
    <w:rsid w:val="00AA2352"/>
    <w:rsid w:val="00AB3167"/>
    <w:rsid w:val="00AC37A6"/>
    <w:rsid w:val="00AC684B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927"/>
    <w:rsid w:val="00B51F57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2E53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B675E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3DB5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F78E9099-0986-4970-927D-E2623D6998E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D57AFE26-47C6-400F-BF7F-1F3CBEBA522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1440</properties:Words>
  <properties:Characters>8501</properties:Characters>
  <properties:Lines>70</properties:Lines>
  <properties:Paragraphs>19</properties:Paragraphs>
  <properties:TotalTime>380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2020-01-06T15:55:00Z</dcterms:modified>
  <cp:revision>49</cp:revision>
</cp:coreProperties>
</file>