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784092" w:rsidR="001B53EF" w:rsidP="00250E06" w:rsidRDefault="001B53EF" w14:paraId="41D738B3" w14:textId="3867F981">
      <w:pPr>
        <w:widowControl w:val="false"/>
        <w:ind w:left="4944" w:firstLine="720"/>
        <w:rPr>
          <w:rFonts w:cs="Arial"/>
          <w:i/>
          <w:iCs/>
          <w:sz w:val="20"/>
        </w:rPr>
      </w:pPr>
      <w:proofErr w:type="gramStart"/>
      <w:r w:rsidRPr="00784092">
        <w:rPr>
          <w:rFonts w:cs="Arial"/>
          <w:b/>
          <w:bCs/>
          <w:sz w:val="20"/>
        </w:rPr>
        <w:t>Č.j.</w:t>
      </w:r>
      <w:proofErr w:type="gramEnd"/>
      <w:r w:rsidRPr="008B0EAD">
        <w:rPr>
          <w:rFonts w:cs="Arial"/>
          <w:sz w:val="20"/>
        </w:rPr>
        <w:t xml:space="preserve">: </w:t>
      </w:r>
      <w:r w:rsidRPr="00DC4427" w:rsidR="00250E06">
        <w:rPr>
          <w:rFonts w:cs="Arial"/>
          <w:sz w:val="20"/>
          <w:highlight w:val="yellow"/>
        </w:rPr>
        <w:t>[</w:t>
      </w:r>
      <w:r w:rsidRPr="00DC4427" w:rsidR="00250E06">
        <w:rPr>
          <w:rFonts w:cs="Arial"/>
          <w:i/>
          <w:sz w:val="20"/>
          <w:highlight w:val="yellow"/>
        </w:rPr>
        <w:t>bude doplněno před uzavřením smlouvy</w:t>
      </w:r>
      <w:r w:rsidR="00250E06">
        <w:rPr>
          <w:rFonts w:cs="Arial"/>
          <w:sz w:val="20"/>
        </w:rPr>
        <w:t>]</w:t>
      </w:r>
      <w:r w:rsidRPr="00784092">
        <w:rPr>
          <w:rFonts w:cs="Arial"/>
          <w:b/>
          <w:bCs/>
          <w:sz w:val="20"/>
        </w:rPr>
        <w:t>Číslo v CES</w:t>
      </w:r>
      <w:r w:rsidRPr="00DF3180">
        <w:rPr>
          <w:rFonts w:cs="Arial"/>
          <w:sz w:val="20"/>
        </w:rPr>
        <w:t xml:space="preserve">: </w:t>
      </w:r>
      <w:r w:rsidRPr="00DC4427" w:rsidR="00250E06">
        <w:rPr>
          <w:rFonts w:cs="Arial"/>
          <w:sz w:val="20"/>
          <w:highlight w:val="yellow"/>
        </w:rPr>
        <w:t>[</w:t>
      </w:r>
      <w:r w:rsidRPr="00DC4427" w:rsidR="00250E06">
        <w:rPr>
          <w:rFonts w:cs="Arial"/>
          <w:i/>
          <w:sz w:val="20"/>
          <w:highlight w:val="yellow"/>
        </w:rPr>
        <w:t>bude doplněno před uzavřením smlouvy</w:t>
      </w:r>
      <w:r w:rsidR="00250E06">
        <w:rPr>
          <w:rFonts w:cs="Arial"/>
          <w:sz w:val="20"/>
        </w:rPr>
        <w:t>]</w:t>
      </w:r>
    </w:p>
    <w:p w:rsidRPr="00250E06" w:rsidR="001B53EF" w:rsidP="001B53EF" w:rsidRDefault="001B53EF" w14:paraId="78A6FA13" w14:textId="53FCC30C">
      <w:pPr>
        <w:widowControl w:val="false"/>
        <w:ind w:left="4944" w:firstLine="720"/>
        <w:outlineLvl w:val="0"/>
        <w:rPr>
          <w:rFonts w:cs="Arial"/>
          <w:b/>
          <w:bCs/>
          <w:sz w:val="18"/>
          <w:szCs w:val="18"/>
        </w:rPr>
      </w:pPr>
      <w:r w:rsidRPr="00784092">
        <w:rPr>
          <w:rFonts w:cs="Arial"/>
          <w:b/>
          <w:bCs/>
          <w:sz w:val="20"/>
        </w:rPr>
        <w:t xml:space="preserve">Číslo úkolu: </w:t>
      </w:r>
      <w:r w:rsidRPr="00250E06" w:rsidR="00250E06">
        <w:rPr>
          <w:rFonts w:cs="Arial"/>
          <w:sz w:val="18"/>
          <w:szCs w:val="18"/>
        </w:rPr>
        <w:t xml:space="preserve">366100/5167 a 5168        </w:t>
      </w:r>
    </w:p>
    <w:p w:rsidR="001B53EF" w:rsidP="00FA4D69" w:rsidRDefault="001B53EF" w14:paraId="38D49CF2" w14:textId="77777777">
      <w:pPr>
        <w:jc w:val="center"/>
        <w:rPr>
          <w:rFonts w:cs="Arial"/>
          <w:b/>
          <w:sz w:val="24"/>
          <w:szCs w:val="24"/>
        </w:rPr>
      </w:pPr>
    </w:p>
    <w:p w:rsidR="00FF322F" w:rsidP="00FA4D69" w:rsidRDefault="00FF322F" w14:paraId="4F95B512" w14:textId="77777777">
      <w:pPr>
        <w:jc w:val="center"/>
        <w:rPr>
          <w:rFonts w:cs="Arial"/>
          <w:b/>
          <w:sz w:val="24"/>
          <w:szCs w:val="24"/>
        </w:rPr>
      </w:pPr>
    </w:p>
    <w:p w:rsidRPr="002408EF" w:rsidR="00FA4D69" w:rsidP="00FA4D69" w:rsidRDefault="00FA4D69" w14:paraId="3D50667B" w14:textId="77777777">
      <w:pPr>
        <w:jc w:val="center"/>
        <w:rPr>
          <w:rFonts w:cs="Arial"/>
          <w:b/>
          <w:sz w:val="24"/>
          <w:szCs w:val="24"/>
        </w:rPr>
      </w:pPr>
      <w:r w:rsidRPr="002408EF">
        <w:rPr>
          <w:rFonts w:cs="Arial"/>
          <w:b/>
          <w:sz w:val="24"/>
          <w:szCs w:val="24"/>
        </w:rPr>
        <w:t xml:space="preserve">Dohoda o zachování mlčenlivosti </w:t>
      </w:r>
    </w:p>
    <w:p w:rsidRPr="002408EF" w:rsidR="00BD2762" w:rsidP="00340DA6" w:rsidRDefault="00BD2762" w14:paraId="50784896" w14:textId="77777777">
      <w:pPr>
        <w:spacing w:after="60"/>
        <w:jc w:val="center"/>
        <w:rPr>
          <w:rFonts w:cs="Arial"/>
          <w:sz w:val="24"/>
          <w:szCs w:val="24"/>
        </w:rPr>
      </w:pPr>
      <w:r w:rsidRPr="002408EF">
        <w:rPr>
          <w:rFonts w:cs="Arial"/>
          <w:sz w:val="24"/>
          <w:szCs w:val="24"/>
        </w:rPr>
        <w:t>(dále jen „</w:t>
      </w:r>
      <w:r w:rsidRPr="002408EF">
        <w:rPr>
          <w:rFonts w:cs="Arial"/>
          <w:b/>
          <w:sz w:val="24"/>
          <w:szCs w:val="24"/>
        </w:rPr>
        <w:t>Dohoda</w:t>
      </w:r>
      <w:r w:rsidRPr="002408EF">
        <w:rPr>
          <w:rFonts w:cs="Arial"/>
          <w:sz w:val="24"/>
          <w:szCs w:val="24"/>
        </w:rPr>
        <w:t>“)</w:t>
      </w:r>
    </w:p>
    <w:p w:rsidRPr="009814D8" w:rsidR="009814D8" w:rsidP="009814D8" w:rsidRDefault="00340DA6" w14:paraId="31857C68" w14:textId="77777777">
      <w:pPr>
        <w:rPr>
          <w:rFonts w:cs="Arial"/>
          <w:sz w:val="20"/>
        </w:rPr>
      </w:pPr>
      <w:r w:rsidRPr="009814D8">
        <w:rPr>
          <w:rFonts w:cs="Arial"/>
          <w:sz w:val="20"/>
        </w:rPr>
        <w:t xml:space="preserve">ke Smlouvě </w:t>
      </w:r>
      <w:r w:rsidRPr="00B1667B" w:rsidR="009814D8">
        <w:rPr>
          <w:rFonts w:cs="Arial"/>
          <w:b/>
          <w:sz w:val="20"/>
        </w:rPr>
        <w:t>o Vzdělávání zaměstnanců MMR v oblasti kybernetické bezpečnosti.</w:t>
      </w:r>
      <w:r w:rsidRPr="009814D8" w:rsidR="009814D8">
        <w:rPr>
          <w:rFonts w:cs="Arial"/>
          <w:sz w:val="20"/>
        </w:rPr>
        <w:t xml:space="preserve"> </w:t>
      </w:r>
    </w:p>
    <w:p w:rsidRPr="006A3897" w:rsidR="00340DA6" w:rsidP="00250E06" w:rsidRDefault="00340DA6" w14:paraId="69027A6B" w14:textId="55914B0F">
      <w:pPr>
        <w:widowControl w:val="false"/>
        <w:jc w:val="center"/>
        <w:rPr>
          <w:rFonts w:cs="Arial"/>
          <w:sz w:val="20"/>
        </w:rPr>
      </w:pPr>
      <w:r w:rsidRPr="00340DA6">
        <w:rPr>
          <w:sz w:val="20"/>
        </w:rPr>
        <w:t xml:space="preserve">(CES: </w:t>
      </w:r>
      <w:r w:rsidRPr="00DC4427" w:rsidR="00250E06">
        <w:rPr>
          <w:rFonts w:cs="Arial"/>
          <w:sz w:val="20"/>
          <w:highlight w:val="yellow"/>
        </w:rPr>
        <w:t>[</w:t>
      </w:r>
      <w:r w:rsidRPr="00DC4427" w:rsidR="00250E06">
        <w:rPr>
          <w:rFonts w:cs="Arial"/>
          <w:i/>
          <w:sz w:val="20"/>
          <w:highlight w:val="yellow"/>
        </w:rPr>
        <w:t>bude doplněno před uzavřením smlouvy</w:t>
      </w:r>
      <w:r w:rsidR="00250E06">
        <w:rPr>
          <w:rFonts w:cs="Arial"/>
          <w:sz w:val="20"/>
        </w:rPr>
        <w:t>]</w:t>
      </w:r>
      <w:r w:rsidRPr="00340DA6">
        <w:rPr>
          <w:sz w:val="20"/>
        </w:rPr>
        <w:t xml:space="preserve">, </w:t>
      </w:r>
      <w:proofErr w:type="gramStart"/>
      <w:r w:rsidRPr="00340DA6">
        <w:rPr>
          <w:sz w:val="20"/>
        </w:rPr>
        <w:t>Č.j.</w:t>
      </w:r>
      <w:proofErr w:type="gramEnd"/>
      <w:r w:rsidRPr="00340DA6">
        <w:rPr>
          <w:sz w:val="20"/>
        </w:rPr>
        <w:t xml:space="preserve"> </w:t>
      </w:r>
      <w:r w:rsidRPr="006A3897" w:rsidR="00250E06">
        <w:rPr>
          <w:rFonts w:cs="Arial"/>
          <w:sz w:val="20"/>
        </w:rPr>
        <w:t>49772/2019-56</w:t>
      </w:r>
      <w:r w:rsidRPr="006A3897">
        <w:rPr>
          <w:rFonts w:cs="Arial"/>
          <w:sz w:val="20"/>
        </w:rPr>
        <w:t>)</w:t>
      </w:r>
    </w:p>
    <w:p w:rsidRPr="002408EF" w:rsidR="00FA4D69" w:rsidP="00FA4D69" w:rsidRDefault="00FA4D69" w14:paraId="1F1F5681" w14:textId="77777777">
      <w:pPr>
        <w:jc w:val="center"/>
        <w:rPr>
          <w:rFonts w:cs="Arial"/>
          <w:sz w:val="20"/>
        </w:rPr>
      </w:pPr>
    </w:p>
    <w:p w:rsidRPr="002408EF" w:rsidR="00E645AB" w:rsidP="0062030A" w:rsidRDefault="00E645AB" w14:paraId="10466177" w14:textId="77777777">
      <w:pPr>
        <w:rPr>
          <w:rFonts w:cs="Arial"/>
          <w:sz w:val="20"/>
        </w:rPr>
      </w:pPr>
    </w:p>
    <w:p w:rsidRPr="002408EF" w:rsidR="0062030A" w:rsidP="0062030A" w:rsidRDefault="00FA4D69" w14:paraId="7715DA75" w14:textId="77777777">
      <w:pPr>
        <w:rPr>
          <w:rFonts w:cs="Arial"/>
          <w:sz w:val="20"/>
        </w:rPr>
      </w:pPr>
      <w:r w:rsidRPr="002408EF">
        <w:rPr>
          <w:rFonts w:cs="Arial"/>
          <w:sz w:val="20"/>
        </w:rPr>
        <w:t>uzavřená podle ustanovení § 1746 odst. 2 zákona č. 89/2012 Sb., občanský zákoník</w:t>
      </w:r>
      <w:r w:rsidRPr="002408EF" w:rsidR="008B2E98">
        <w:rPr>
          <w:rFonts w:cs="Arial"/>
          <w:sz w:val="20"/>
        </w:rPr>
        <w:t xml:space="preserve"> (dále jen „</w:t>
      </w:r>
      <w:r w:rsidRPr="002408EF" w:rsidR="000048C7">
        <w:rPr>
          <w:rFonts w:cs="Arial"/>
          <w:sz w:val="20"/>
        </w:rPr>
        <w:t>občanský zákoník“)</w:t>
      </w:r>
      <w:r w:rsidRPr="002408EF">
        <w:rPr>
          <w:rFonts w:cs="Arial"/>
          <w:sz w:val="20"/>
        </w:rPr>
        <w:t>, mezi smluvními stranami</w:t>
      </w:r>
      <w:r w:rsidRPr="002408EF" w:rsidR="0062030A">
        <w:rPr>
          <w:rFonts w:cs="Arial"/>
          <w:sz w:val="20"/>
        </w:rPr>
        <w:t xml:space="preserve"> </w:t>
      </w:r>
    </w:p>
    <w:p w:rsidRPr="002408EF" w:rsidR="00FA4D69" w:rsidP="00DF49E8" w:rsidRDefault="00FA4D69" w14:paraId="1C6ABE9B" w14:textId="77777777">
      <w:pPr>
        <w:rPr>
          <w:rFonts w:cs="Arial"/>
          <w:sz w:val="20"/>
        </w:rPr>
      </w:pPr>
    </w:p>
    <w:p w:rsidRPr="002408EF" w:rsidR="0062030A" w:rsidP="00DF49E8" w:rsidRDefault="0062030A" w14:paraId="461EFCC7" w14:textId="77777777">
      <w:pPr>
        <w:rPr>
          <w:rFonts w:cs="Arial"/>
          <w:sz w:val="20"/>
        </w:rPr>
      </w:pPr>
    </w:p>
    <w:p w:rsidRPr="002408EF" w:rsidR="00FA4D69" w:rsidP="00FA4D69" w:rsidRDefault="00FA4D69" w14:paraId="2DD4282C" w14:textId="77777777">
      <w:pPr>
        <w:rPr>
          <w:rFonts w:cs="Arial"/>
          <w:b/>
          <w:bCs/>
          <w:sz w:val="20"/>
        </w:rPr>
      </w:pPr>
      <w:r w:rsidRPr="002408EF">
        <w:rPr>
          <w:rFonts w:cs="Arial"/>
          <w:b/>
          <w:bCs/>
          <w:sz w:val="20"/>
        </w:rPr>
        <w:t>Česká republika – Ministerstvo pro místní rozvoj</w:t>
      </w:r>
    </w:p>
    <w:p w:rsidRPr="002408EF" w:rsidR="00FA4D69" w:rsidP="00FA4D69" w:rsidRDefault="00FA4D69" w14:paraId="3F15FD92" w14:textId="77777777">
      <w:pPr>
        <w:rPr>
          <w:rFonts w:cs="Arial"/>
          <w:bCs/>
          <w:sz w:val="20"/>
        </w:rPr>
      </w:pPr>
      <w:r w:rsidRPr="002408EF">
        <w:rPr>
          <w:rFonts w:cs="Arial"/>
          <w:bCs/>
          <w:sz w:val="20"/>
        </w:rPr>
        <w:t>Sídlo:</w:t>
      </w:r>
      <w:r w:rsidRPr="002408EF">
        <w:rPr>
          <w:rFonts w:cs="Arial"/>
          <w:bCs/>
          <w:sz w:val="20"/>
        </w:rPr>
        <w:tab/>
      </w:r>
      <w:r w:rsidRPr="002408EF">
        <w:rPr>
          <w:rFonts w:cs="Arial"/>
          <w:bCs/>
          <w:sz w:val="20"/>
        </w:rPr>
        <w:tab/>
      </w:r>
      <w:r w:rsidRPr="002408EF">
        <w:rPr>
          <w:rFonts w:cs="Arial"/>
          <w:bCs/>
          <w:sz w:val="20"/>
        </w:rPr>
        <w:tab/>
        <w:t>Staroměstské náměstí 6, 110 15 Praha 1</w:t>
      </w:r>
    </w:p>
    <w:p w:rsidR="0066589A" w:rsidP="00FA4D69" w:rsidRDefault="00451E1B" w14:paraId="49AD9EDC" w14:textId="77777777">
      <w:pPr>
        <w:rPr>
          <w:rFonts w:cs="Arial"/>
          <w:bCs/>
          <w:sz w:val="20"/>
        </w:rPr>
      </w:pPr>
      <w:r w:rsidRPr="002408EF">
        <w:rPr>
          <w:rFonts w:cs="Arial"/>
          <w:bCs/>
          <w:sz w:val="20"/>
        </w:rPr>
        <w:t>z</w:t>
      </w:r>
      <w:r w:rsidRPr="002408EF" w:rsidR="005F2C41">
        <w:rPr>
          <w:rFonts w:cs="Arial"/>
          <w:bCs/>
          <w:sz w:val="20"/>
        </w:rPr>
        <w:t xml:space="preserve">astoupená: </w:t>
      </w:r>
      <w:r w:rsidRPr="002408EF" w:rsidR="005F2C41">
        <w:rPr>
          <w:rFonts w:cs="Arial"/>
          <w:bCs/>
          <w:sz w:val="20"/>
        </w:rPr>
        <w:tab/>
      </w:r>
      <w:r w:rsidRPr="002408EF" w:rsidR="005F2C41">
        <w:rPr>
          <w:rFonts w:cs="Arial"/>
          <w:bCs/>
          <w:sz w:val="20"/>
        </w:rPr>
        <w:tab/>
      </w:r>
    </w:p>
    <w:p w:rsidRPr="002408EF" w:rsidR="00FA4D69" w:rsidP="00FA4D69" w:rsidRDefault="00FA4D69" w14:paraId="24B42914" w14:textId="77777777">
      <w:pPr>
        <w:rPr>
          <w:rFonts w:cs="Arial"/>
          <w:bCs/>
          <w:sz w:val="20"/>
        </w:rPr>
      </w:pPr>
      <w:r w:rsidRPr="002408EF">
        <w:rPr>
          <w:rFonts w:cs="Arial"/>
          <w:bCs/>
          <w:sz w:val="20"/>
        </w:rPr>
        <w:t>IČ</w:t>
      </w:r>
      <w:r w:rsidRPr="002408EF" w:rsidR="005F2C41">
        <w:rPr>
          <w:rFonts w:cs="Arial"/>
          <w:bCs/>
          <w:sz w:val="20"/>
        </w:rPr>
        <w:t>O</w:t>
      </w:r>
      <w:r w:rsidRPr="002408EF">
        <w:rPr>
          <w:rFonts w:cs="Arial"/>
          <w:bCs/>
          <w:sz w:val="20"/>
        </w:rPr>
        <w:t>:</w:t>
      </w:r>
      <w:r w:rsidRPr="002408EF">
        <w:rPr>
          <w:rFonts w:cs="Arial"/>
          <w:bCs/>
          <w:sz w:val="20"/>
        </w:rPr>
        <w:tab/>
      </w:r>
      <w:r w:rsidRPr="002408EF">
        <w:rPr>
          <w:rFonts w:cs="Arial"/>
          <w:bCs/>
          <w:sz w:val="20"/>
        </w:rPr>
        <w:tab/>
      </w:r>
      <w:r w:rsidRPr="002408EF" w:rsidR="005F2C41">
        <w:rPr>
          <w:rFonts w:cs="Arial"/>
          <w:bCs/>
          <w:sz w:val="20"/>
        </w:rPr>
        <w:tab/>
        <w:t>66002222</w:t>
      </w:r>
    </w:p>
    <w:p w:rsidRPr="002408EF" w:rsidR="00FA4D69" w:rsidP="00FA4D69" w:rsidRDefault="005F2C41" w14:paraId="2E989EDC" w14:textId="77777777">
      <w:pPr>
        <w:rPr>
          <w:rFonts w:cs="Arial"/>
          <w:sz w:val="20"/>
        </w:rPr>
      </w:pPr>
      <w:r w:rsidRPr="002408EF">
        <w:rPr>
          <w:rFonts w:cs="Arial"/>
          <w:sz w:val="20"/>
        </w:rPr>
        <w:t>bank</w:t>
      </w:r>
      <w:r w:rsidRPr="002408EF" w:rsidR="00451E1B">
        <w:rPr>
          <w:rFonts w:cs="Arial"/>
          <w:sz w:val="20"/>
        </w:rPr>
        <w:t>ovní</w:t>
      </w:r>
      <w:r w:rsidRPr="002408EF">
        <w:rPr>
          <w:rFonts w:cs="Arial"/>
          <w:sz w:val="20"/>
        </w:rPr>
        <w:t xml:space="preserve"> spojení: </w:t>
      </w:r>
      <w:r w:rsidRPr="002408EF">
        <w:rPr>
          <w:rFonts w:cs="Arial"/>
          <w:sz w:val="20"/>
        </w:rPr>
        <w:tab/>
        <w:t xml:space="preserve">ČNB </w:t>
      </w:r>
      <w:r w:rsidRPr="002408EF" w:rsidR="00CE44C3">
        <w:rPr>
          <w:rFonts w:cs="Arial"/>
          <w:sz w:val="20"/>
        </w:rPr>
        <w:t>P</w:t>
      </w:r>
      <w:r w:rsidRPr="002408EF">
        <w:rPr>
          <w:rFonts w:cs="Arial"/>
          <w:sz w:val="20"/>
        </w:rPr>
        <w:t>raha 1, Na Příkopě 28</w:t>
      </w:r>
    </w:p>
    <w:p w:rsidRPr="002408EF" w:rsidR="005F2C41" w:rsidP="00FA4D69" w:rsidRDefault="005F2C41" w14:paraId="30133969" w14:textId="77777777">
      <w:p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číslo účtu: </w:t>
      </w:r>
      <w:r w:rsidRPr="002408EF">
        <w:rPr>
          <w:rFonts w:cs="Arial"/>
          <w:sz w:val="20"/>
        </w:rPr>
        <w:tab/>
      </w:r>
      <w:r w:rsidRPr="002408EF">
        <w:rPr>
          <w:rFonts w:cs="Arial"/>
          <w:sz w:val="20"/>
        </w:rPr>
        <w:tab/>
        <w:t>629001/0710</w:t>
      </w:r>
    </w:p>
    <w:p w:rsidRPr="002408EF" w:rsidR="00FA4D69" w:rsidP="00FA4D69" w:rsidRDefault="00FA4D69" w14:paraId="6C8E42AA" w14:textId="77777777">
      <w:pPr>
        <w:rPr>
          <w:rFonts w:cs="Arial"/>
          <w:sz w:val="20"/>
        </w:rPr>
      </w:pPr>
      <w:r w:rsidRPr="002408EF">
        <w:rPr>
          <w:rFonts w:cs="Arial"/>
          <w:sz w:val="20"/>
        </w:rPr>
        <w:t>(dále jen „</w:t>
      </w:r>
      <w:r w:rsidRPr="002408EF" w:rsidR="005F2C41">
        <w:rPr>
          <w:rFonts w:cs="Arial"/>
          <w:b/>
          <w:sz w:val="20"/>
        </w:rPr>
        <w:t>MMR</w:t>
      </w:r>
      <w:r w:rsidRPr="002408EF">
        <w:rPr>
          <w:rFonts w:cs="Arial"/>
          <w:sz w:val="20"/>
        </w:rPr>
        <w:t>“)</w:t>
      </w:r>
    </w:p>
    <w:p w:rsidR="00E645AB" w:rsidP="00451E1B" w:rsidRDefault="00E645AB" w14:paraId="28A06593" w14:textId="77777777">
      <w:pPr>
        <w:rPr>
          <w:rFonts w:cs="Arial"/>
          <w:sz w:val="20"/>
        </w:rPr>
      </w:pPr>
    </w:p>
    <w:p w:rsidRPr="002408EF" w:rsidR="00FA4D69" w:rsidP="00451E1B" w:rsidRDefault="00FA4D69" w14:paraId="2C658EF2" w14:textId="77777777">
      <w:pPr>
        <w:rPr>
          <w:rFonts w:cs="Arial"/>
          <w:sz w:val="20"/>
        </w:rPr>
      </w:pPr>
      <w:r w:rsidRPr="002408EF">
        <w:rPr>
          <w:rFonts w:cs="Arial"/>
          <w:sz w:val="20"/>
        </w:rPr>
        <w:t>a</w:t>
      </w:r>
    </w:p>
    <w:p w:rsidRPr="002408EF" w:rsidR="00BB23AF" w:rsidP="00451E1B" w:rsidRDefault="00BB23AF" w14:paraId="4F29ABE3" w14:textId="77777777">
      <w:pPr>
        <w:widowControl w:val="false"/>
        <w:rPr>
          <w:rFonts w:cs="Arial"/>
          <w:b/>
          <w:bCs/>
          <w:sz w:val="20"/>
        </w:rPr>
      </w:pPr>
    </w:p>
    <w:p w:rsidR="00250E06" w:rsidP="00250E06" w:rsidRDefault="00250E06" w14:paraId="7E54C4B3" w14:textId="77777777">
      <w:pPr>
        <w:widowControl w:val="false"/>
        <w:outlineLvl w:val="0"/>
        <w:rPr>
          <w:rFonts w:cs="Arial"/>
        </w:rPr>
      </w:pPr>
      <w:r w:rsidRPr="00B5179E">
        <w:rPr>
          <w:rFonts w:cs="Arial"/>
          <w:highlight w:val="yellow"/>
        </w:rPr>
        <w:t>[DOPLNÍ ZHOTOVITEL]</w:t>
      </w:r>
    </w:p>
    <w:p w:rsidRPr="00384F1A" w:rsidR="00250E06" w:rsidP="00250E06" w:rsidRDefault="00250E06" w14:paraId="150B025D" w14:textId="77777777">
      <w:pPr>
        <w:widowControl w:val="false"/>
        <w:outlineLvl w:val="0"/>
        <w:rPr>
          <w:rFonts w:cs="Arial"/>
          <w:iCs/>
          <w:sz w:val="20"/>
        </w:rPr>
      </w:pPr>
      <w:r w:rsidRPr="00384F1A">
        <w:rPr>
          <w:rFonts w:cs="Arial"/>
          <w:bCs/>
          <w:sz w:val="20"/>
        </w:rPr>
        <w:t>Sídlo:</w:t>
      </w:r>
      <w:r w:rsidRPr="00384F1A">
        <w:rPr>
          <w:rFonts w:cs="Arial"/>
          <w:bCs/>
          <w:sz w:val="20"/>
        </w:rPr>
        <w:tab/>
      </w:r>
      <w:r w:rsidRPr="00B5179E">
        <w:rPr>
          <w:rFonts w:cs="Arial"/>
          <w:highlight w:val="yellow"/>
        </w:rPr>
        <w:t>[DOPLNÍ ZHOTOVITEL]</w:t>
      </w:r>
      <w:r w:rsidRPr="00384F1A">
        <w:rPr>
          <w:rFonts w:cs="Arial"/>
          <w:bCs/>
          <w:sz w:val="20"/>
        </w:rPr>
        <w:tab/>
      </w:r>
      <w:r w:rsidRPr="00384F1A">
        <w:rPr>
          <w:rFonts w:cs="Arial"/>
          <w:bCs/>
          <w:sz w:val="20"/>
        </w:rPr>
        <w:tab/>
      </w:r>
    </w:p>
    <w:p w:rsidRPr="00384F1A" w:rsidR="00250E06" w:rsidP="00250E06" w:rsidRDefault="00250E06" w14:paraId="62665CA9" w14:textId="77777777">
      <w:pPr>
        <w:widowControl w:val="false"/>
        <w:outlineLvl w:val="0"/>
        <w:rPr>
          <w:rFonts w:cs="Arial"/>
          <w:iCs/>
          <w:sz w:val="20"/>
        </w:rPr>
      </w:pPr>
      <w:r w:rsidRPr="00384F1A">
        <w:rPr>
          <w:rFonts w:cs="Arial"/>
          <w:iCs/>
          <w:sz w:val="20"/>
        </w:rPr>
        <w:t>zastoupená</w:t>
      </w:r>
      <w:r w:rsidRPr="00384F1A">
        <w:rPr>
          <w:rFonts w:cs="Arial"/>
          <w:sz w:val="20"/>
        </w:rPr>
        <w:t xml:space="preserve">: </w:t>
      </w:r>
      <w:r w:rsidRPr="00384F1A">
        <w:rPr>
          <w:rFonts w:cs="Arial"/>
          <w:sz w:val="20"/>
        </w:rPr>
        <w:tab/>
      </w:r>
      <w:r w:rsidRPr="00B5179E">
        <w:rPr>
          <w:rFonts w:cs="Arial"/>
          <w:highlight w:val="yellow"/>
        </w:rPr>
        <w:t>[DOPLNÍ ZHOTOVITEL]</w:t>
      </w:r>
    </w:p>
    <w:p w:rsidRPr="00384F1A" w:rsidR="00250E06" w:rsidP="00250E06" w:rsidRDefault="00250E06" w14:paraId="0BFDA60D" w14:textId="77777777">
      <w:pPr>
        <w:widowControl w:val="false"/>
        <w:outlineLvl w:val="0"/>
        <w:rPr>
          <w:rFonts w:cs="Arial"/>
          <w:bCs/>
          <w:sz w:val="20"/>
        </w:rPr>
      </w:pPr>
      <w:r w:rsidRPr="00384F1A">
        <w:rPr>
          <w:rFonts w:cs="Arial"/>
          <w:bCs/>
          <w:sz w:val="20"/>
        </w:rPr>
        <w:t xml:space="preserve">IČO: </w:t>
      </w:r>
      <w:r w:rsidRPr="00384F1A">
        <w:rPr>
          <w:rFonts w:cs="Arial"/>
          <w:bCs/>
          <w:sz w:val="20"/>
        </w:rPr>
        <w:tab/>
      </w:r>
      <w:r w:rsidRPr="00384F1A">
        <w:rPr>
          <w:rFonts w:cs="Arial"/>
          <w:bCs/>
          <w:sz w:val="20"/>
        </w:rPr>
        <w:tab/>
      </w:r>
      <w:r w:rsidRPr="00B5179E">
        <w:rPr>
          <w:rFonts w:cs="Arial"/>
          <w:highlight w:val="yellow"/>
        </w:rPr>
        <w:t>[DOPLNÍ ZHOTOVITEL]</w:t>
      </w:r>
      <w:r w:rsidRPr="00384F1A">
        <w:rPr>
          <w:rFonts w:cs="Arial"/>
          <w:bCs/>
          <w:sz w:val="20"/>
        </w:rPr>
        <w:tab/>
      </w:r>
    </w:p>
    <w:p w:rsidR="00250E06" w:rsidP="00250E06" w:rsidRDefault="00250E06" w14:paraId="1CD7EE5B" w14:textId="77777777">
      <w:pPr>
        <w:widowControl w:val="false"/>
        <w:outlineLvl w:val="0"/>
        <w:rPr>
          <w:rFonts w:cs="Arial"/>
          <w:bCs/>
          <w:sz w:val="20"/>
        </w:rPr>
      </w:pPr>
      <w:r w:rsidRPr="00384F1A">
        <w:rPr>
          <w:rFonts w:cs="Arial"/>
          <w:bCs/>
          <w:sz w:val="20"/>
        </w:rPr>
        <w:t xml:space="preserve">DIČ: </w:t>
      </w:r>
      <w:r w:rsidRPr="00384F1A">
        <w:rPr>
          <w:rFonts w:cs="Arial"/>
          <w:bCs/>
          <w:sz w:val="20"/>
        </w:rPr>
        <w:tab/>
      </w:r>
      <w:r w:rsidRPr="00384F1A">
        <w:rPr>
          <w:rFonts w:cs="Arial"/>
          <w:bCs/>
          <w:sz w:val="20"/>
        </w:rPr>
        <w:tab/>
      </w:r>
      <w:r w:rsidRPr="00B5179E">
        <w:rPr>
          <w:rFonts w:cs="Arial"/>
          <w:highlight w:val="yellow"/>
        </w:rPr>
        <w:t>[DOPLNÍ ZHOTOVITEL]</w:t>
      </w:r>
      <w:r w:rsidRPr="00384F1A">
        <w:rPr>
          <w:rFonts w:cs="Arial"/>
          <w:bCs/>
          <w:sz w:val="20"/>
        </w:rPr>
        <w:tab/>
      </w:r>
    </w:p>
    <w:p w:rsidRPr="00384F1A" w:rsidR="00250E06" w:rsidP="00250E06" w:rsidRDefault="00250E06" w14:paraId="22DFE44A" w14:textId="77777777">
      <w:pPr>
        <w:widowControl w:val="false"/>
        <w:outlineLvl w:val="0"/>
        <w:rPr>
          <w:rFonts w:cs="Arial"/>
          <w:bCs/>
          <w:sz w:val="20"/>
        </w:rPr>
      </w:pPr>
      <w:r w:rsidRPr="00384F1A">
        <w:rPr>
          <w:rFonts w:cs="Arial"/>
          <w:iCs/>
          <w:sz w:val="20"/>
        </w:rPr>
        <w:t>bankovní</w:t>
      </w:r>
      <w:r w:rsidRPr="00384F1A">
        <w:rPr>
          <w:rFonts w:cs="Arial"/>
          <w:bCs/>
          <w:sz w:val="20"/>
        </w:rPr>
        <w:t xml:space="preserve"> spojení:</w:t>
      </w:r>
      <w:r w:rsidRPr="000D543E">
        <w:rPr>
          <w:rFonts w:cs="Arial"/>
          <w:b/>
          <w:bCs/>
          <w:color w:val="000000"/>
          <w:spacing w:val="-4"/>
          <w:sz w:val="20"/>
          <w:highlight w:val="yellow"/>
        </w:rPr>
        <w:t xml:space="preserve"> </w:t>
      </w:r>
      <w:r w:rsidRPr="00B5179E">
        <w:rPr>
          <w:rFonts w:cs="Arial"/>
          <w:highlight w:val="yellow"/>
        </w:rPr>
        <w:t>[DOPLNÍ ZHOTOVITEL]</w:t>
      </w:r>
    </w:p>
    <w:p w:rsidR="00250E06" w:rsidP="00250E06" w:rsidRDefault="00250E06" w14:paraId="0245AC73" w14:textId="77777777">
      <w:pPr>
        <w:widowControl w:val="false"/>
        <w:outlineLvl w:val="0"/>
        <w:rPr>
          <w:rFonts w:cs="Arial"/>
        </w:rPr>
      </w:pPr>
      <w:r w:rsidRPr="00384F1A">
        <w:rPr>
          <w:rFonts w:cs="Arial"/>
          <w:bCs/>
          <w:sz w:val="20"/>
        </w:rPr>
        <w:t xml:space="preserve">číslo účtu: </w:t>
      </w:r>
      <w:r w:rsidRPr="00384F1A">
        <w:rPr>
          <w:rFonts w:cs="Arial"/>
          <w:bCs/>
          <w:sz w:val="20"/>
        </w:rPr>
        <w:tab/>
      </w:r>
      <w:r w:rsidRPr="00B5179E">
        <w:rPr>
          <w:rFonts w:cs="Arial"/>
          <w:highlight w:val="yellow"/>
        </w:rPr>
        <w:t>[DOPLNÍ ZHOTOVITEL]</w:t>
      </w:r>
    </w:p>
    <w:p w:rsidR="00250E06" w:rsidP="00250E06" w:rsidRDefault="00250E06" w14:paraId="45F568C8" w14:textId="77777777">
      <w:pPr>
        <w:widowControl w:val="false"/>
        <w:outlineLvl w:val="0"/>
        <w:rPr>
          <w:rFonts w:cs="Arial"/>
        </w:rPr>
      </w:pPr>
      <w:r w:rsidRPr="00384F1A">
        <w:rPr>
          <w:rFonts w:cs="Arial"/>
          <w:sz w:val="20"/>
        </w:rPr>
        <w:t xml:space="preserve">zapsaná v obchodním rejstříku vedeném </w:t>
      </w:r>
      <w:r w:rsidRPr="00384F1A">
        <w:rPr>
          <w:rFonts w:cs="Arial"/>
          <w:sz w:val="20"/>
          <w:lang w:val="sk-SK"/>
        </w:rPr>
        <w:t xml:space="preserve">u </w:t>
      </w:r>
      <w:r w:rsidRPr="00B5179E">
        <w:rPr>
          <w:rFonts w:cs="Arial"/>
          <w:highlight w:val="yellow"/>
        </w:rPr>
        <w:t>[DOPLNÍ ZHOTOVITEL]</w:t>
      </w:r>
      <w:r w:rsidRPr="00384F1A">
        <w:rPr>
          <w:rFonts w:cs="Arial"/>
          <w:bCs/>
          <w:color w:val="000000"/>
          <w:spacing w:val="-4"/>
          <w:sz w:val="20"/>
        </w:rPr>
        <w:t xml:space="preserve"> soudu v </w:t>
      </w:r>
      <w:r w:rsidRPr="00B5179E">
        <w:rPr>
          <w:rFonts w:cs="Arial"/>
          <w:highlight w:val="yellow"/>
        </w:rPr>
        <w:t>[DOPLNÍ ZHOTOVITEL]</w:t>
      </w:r>
      <w:r w:rsidRPr="00384F1A">
        <w:rPr>
          <w:rFonts w:cs="Arial"/>
          <w:bCs/>
          <w:color w:val="000000"/>
          <w:spacing w:val="-4"/>
          <w:sz w:val="20"/>
        </w:rPr>
        <w:t>,</w:t>
      </w:r>
      <w:r w:rsidRPr="00384F1A">
        <w:rPr>
          <w:rFonts w:cs="Arial"/>
          <w:sz w:val="20"/>
        </w:rPr>
        <w:t xml:space="preserve"> </w:t>
      </w:r>
      <w:r w:rsidRPr="00384F1A">
        <w:rPr>
          <w:rFonts w:cs="Arial"/>
          <w:spacing w:val="-4"/>
          <w:sz w:val="20"/>
        </w:rPr>
        <w:t xml:space="preserve">oddíl </w:t>
      </w:r>
      <w:r w:rsidRPr="00B5179E">
        <w:rPr>
          <w:rFonts w:cs="Arial"/>
          <w:highlight w:val="yellow"/>
        </w:rPr>
        <w:t>[DOPLNÍ ZHOTOVITEL]</w:t>
      </w:r>
      <w:r w:rsidRPr="00384F1A">
        <w:rPr>
          <w:rFonts w:cs="Arial"/>
          <w:spacing w:val="-4"/>
          <w:sz w:val="20"/>
        </w:rPr>
        <w:t xml:space="preserve">, vložka </w:t>
      </w:r>
      <w:r w:rsidRPr="00B5179E">
        <w:rPr>
          <w:rFonts w:cs="Arial"/>
          <w:highlight w:val="yellow"/>
        </w:rPr>
        <w:t>[DOPLNÍ ZHOTOVITEL]</w:t>
      </w:r>
    </w:p>
    <w:p w:rsidRPr="002408EF" w:rsidR="00FA4D69" w:rsidP="00FA4D69" w:rsidRDefault="00FA4D69" w14:paraId="4C8F3F66" w14:textId="3806F794">
      <w:pPr>
        <w:rPr>
          <w:rFonts w:cs="Arial"/>
          <w:sz w:val="20"/>
        </w:rPr>
      </w:pPr>
    </w:p>
    <w:p w:rsidRPr="002408EF" w:rsidR="00FA4D69" w:rsidP="00FA4D69" w:rsidRDefault="00FA4D69" w14:paraId="2E8016E7" w14:textId="77777777">
      <w:pPr>
        <w:rPr>
          <w:rFonts w:cs="Arial"/>
          <w:sz w:val="20"/>
        </w:rPr>
      </w:pPr>
      <w:r w:rsidRPr="002408EF">
        <w:rPr>
          <w:rFonts w:cs="Arial"/>
          <w:sz w:val="20"/>
        </w:rPr>
        <w:t>(dále jen „</w:t>
      </w:r>
      <w:r w:rsidRPr="002408EF" w:rsidR="006E5785">
        <w:rPr>
          <w:rFonts w:cs="Arial"/>
          <w:b/>
          <w:sz w:val="20"/>
        </w:rPr>
        <w:t>Partner</w:t>
      </w:r>
      <w:r w:rsidRPr="002408EF">
        <w:rPr>
          <w:rFonts w:cs="Arial"/>
          <w:sz w:val="20"/>
        </w:rPr>
        <w:t>“)</w:t>
      </w:r>
    </w:p>
    <w:p w:rsidR="00FA4D69" w:rsidP="00FA4D69" w:rsidRDefault="00FA4D69" w14:paraId="02FB7683" w14:textId="77777777">
      <w:pPr>
        <w:jc w:val="both"/>
        <w:rPr>
          <w:rFonts w:cs="Arial"/>
          <w:sz w:val="20"/>
        </w:rPr>
      </w:pPr>
    </w:p>
    <w:p w:rsidRPr="002408EF" w:rsidR="00FF322F" w:rsidP="00FA4D69" w:rsidRDefault="00FF322F" w14:paraId="03FE23DC" w14:textId="77777777">
      <w:pPr>
        <w:jc w:val="both"/>
        <w:rPr>
          <w:rFonts w:cs="Arial"/>
          <w:sz w:val="20"/>
        </w:rPr>
      </w:pPr>
    </w:p>
    <w:p w:rsidRPr="002408EF" w:rsidR="00C17CCF" w:rsidP="00C17CCF" w:rsidRDefault="00C17CCF" w14:paraId="47B25F1A" w14:textId="77777777">
      <w:pPr>
        <w:jc w:val="center"/>
        <w:rPr>
          <w:rFonts w:cs="Arial"/>
          <w:b/>
          <w:sz w:val="20"/>
        </w:rPr>
      </w:pPr>
      <w:r w:rsidRPr="002408EF">
        <w:rPr>
          <w:rFonts w:cs="Arial"/>
          <w:b/>
          <w:sz w:val="20"/>
        </w:rPr>
        <w:t>I.</w:t>
      </w:r>
    </w:p>
    <w:p w:rsidRPr="002408EF" w:rsidR="00FA4D69" w:rsidP="00C17CCF" w:rsidRDefault="00FA4D69" w14:paraId="20F7516A" w14:textId="77777777">
      <w:pPr>
        <w:jc w:val="center"/>
        <w:rPr>
          <w:rFonts w:cs="Arial"/>
          <w:b/>
          <w:sz w:val="20"/>
        </w:rPr>
      </w:pPr>
      <w:r w:rsidRPr="002408EF">
        <w:rPr>
          <w:rFonts w:cs="Arial"/>
          <w:b/>
          <w:sz w:val="20"/>
        </w:rPr>
        <w:t>Účel a předmět dohody</w:t>
      </w:r>
    </w:p>
    <w:p w:rsidRPr="002408EF" w:rsidR="00BB23AF" w:rsidP="00C17CCF" w:rsidRDefault="00BB23AF" w14:paraId="4AFB060E" w14:textId="77777777">
      <w:pPr>
        <w:jc w:val="center"/>
        <w:rPr>
          <w:rFonts w:cs="Arial"/>
          <w:b/>
          <w:sz w:val="20"/>
        </w:rPr>
      </w:pPr>
    </w:p>
    <w:p w:rsidRPr="002408EF" w:rsidR="00FA4D69" w:rsidP="00FA4D69" w:rsidRDefault="00FA4D69" w14:paraId="1B2429EB" w14:textId="77777777">
      <w:pPr>
        <w:jc w:val="both"/>
        <w:rPr>
          <w:rFonts w:cs="Arial"/>
          <w:sz w:val="20"/>
        </w:rPr>
      </w:pPr>
    </w:p>
    <w:p w:rsidR="00FA4D69" w:rsidP="00A96D32" w:rsidRDefault="00FA4D69" w14:paraId="5568E640" w14:textId="4081FE0F">
      <w:pPr>
        <w:numPr>
          <w:ilvl w:val="0"/>
          <w:numId w:val="1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Účelem této Dohody je ochrana </w:t>
      </w:r>
      <w:r w:rsidRPr="002408EF" w:rsidR="007706A7">
        <w:rPr>
          <w:rFonts w:cs="Arial"/>
          <w:sz w:val="20"/>
        </w:rPr>
        <w:t>d</w:t>
      </w:r>
      <w:r w:rsidRPr="002408EF">
        <w:rPr>
          <w:rFonts w:cs="Arial"/>
          <w:sz w:val="20"/>
        </w:rPr>
        <w:t xml:space="preserve">ůvěrných informací </w:t>
      </w:r>
      <w:r w:rsidRPr="002408EF" w:rsidR="007706A7">
        <w:rPr>
          <w:rFonts w:cs="Arial"/>
          <w:sz w:val="20"/>
        </w:rPr>
        <w:t>MMR</w:t>
      </w:r>
      <w:r w:rsidRPr="002408EF">
        <w:rPr>
          <w:rFonts w:cs="Arial"/>
          <w:sz w:val="20"/>
        </w:rPr>
        <w:t xml:space="preserve">, se kterými se </w:t>
      </w:r>
      <w:r w:rsidRPr="002408EF" w:rsidR="007706A7">
        <w:rPr>
          <w:rFonts w:cs="Arial"/>
          <w:sz w:val="20"/>
        </w:rPr>
        <w:t>Partner</w:t>
      </w:r>
      <w:r w:rsidRPr="002408EF">
        <w:rPr>
          <w:rFonts w:cs="Arial"/>
          <w:sz w:val="20"/>
        </w:rPr>
        <w:t xml:space="preserve"> seznámí v rámci a v souvislosti s</w:t>
      </w:r>
      <w:r w:rsidRPr="002408EF" w:rsidR="008E51DA">
        <w:rPr>
          <w:rFonts w:cs="Arial"/>
          <w:sz w:val="20"/>
        </w:rPr>
        <w:t> plnění</w:t>
      </w:r>
      <w:r w:rsidRPr="002408EF" w:rsidR="00BD2762">
        <w:rPr>
          <w:rFonts w:cs="Arial"/>
          <w:sz w:val="20"/>
        </w:rPr>
        <w:t>m</w:t>
      </w:r>
      <w:r w:rsidRPr="002408EF" w:rsidR="00DA7DC2">
        <w:rPr>
          <w:rFonts w:cs="Arial"/>
          <w:sz w:val="20"/>
        </w:rPr>
        <w:t xml:space="preserve"> díla </w:t>
      </w:r>
      <w:r w:rsidRPr="00B1667B" w:rsidR="00B1667B">
        <w:rPr>
          <w:rFonts w:cs="Arial"/>
          <w:b/>
          <w:sz w:val="20"/>
        </w:rPr>
        <w:t>Vzdělávání zaměstnanců MMR v oblasti kybernetické bezpečnosti</w:t>
      </w:r>
      <w:r w:rsidRPr="002408EF" w:rsidR="008E51DA">
        <w:rPr>
          <w:rFonts w:cs="Arial"/>
          <w:sz w:val="20"/>
        </w:rPr>
        <w:t>, realizované</w:t>
      </w:r>
      <w:r w:rsidRPr="002408EF" w:rsidR="00451E1B">
        <w:rPr>
          <w:rFonts w:cs="Arial"/>
          <w:sz w:val="20"/>
        </w:rPr>
        <w:t>m</w:t>
      </w:r>
      <w:r w:rsidRPr="002408EF" w:rsidR="008E51DA">
        <w:rPr>
          <w:rFonts w:cs="Arial"/>
          <w:sz w:val="20"/>
        </w:rPr>
        <w:t xml:space="preserve"> na</w:t>
      </w:r>
      <w:r w:rsidRPr="002408EF" w:rsidR="00451E1B">
        <w:rPr>
          <w:rFonts w:cs="Arial"/>
          <w:sz w:val="20"/>
        </w:rPr>
        <w:t> </w:t>
      </w:r>
      <w:r w:rsidRPr="002408EF" w:rsidR="008E51DA">
        <w:rPr>
          <w:rFonts w:cs="Arial"/>
          <w:sz w:val="20"/>
        </w:rPr>
        <w:t xml:space="preserve">základě </w:t>
      </w:r>
      <w:r w:rsidR="00B1667B">
        <w:rPr>
          <w:rFonts w:cs="Arial"/>
          <w:sz w:val="20"/>
        </w:rPr>
        <w:t>smlouvy</w:t>
      </w:r>
      <w:r w:rsidRPr="002408EF" w:rsidR="00007BFC">
        <w:rPr>
          <w:rFonts w:cs="Arial"/>
          <w:sz w:val="20"/>
        </w:rPr>
        <w:t xml:space="preserve"> </w:t>
      </w:r>
      <w:r w:rsidR="00BA024D">
        <w:rPr>
          <w:rFonts w:cs="Arial"/>
          <w:sz w:val="20"/>
        </w:rPr>
        <w:t xml:space="preserve">uzavřené dne </w:t>
      </w:r>
      <w:r w:rsidRPr="00DC4427" w:rsidR="00250E06">
        <w:rPr>
          <w:rFonts w:cs="Arial"/>
          <w:sz w:val="20"/>
          <w:highlight w:val="yellow"/>
        </w:rPr>
        <w:t>[</w:t>
      </w:r>
      <w:r w:rsidRPr="00DC4427" w:rsidR="00250E06">
        <w:rPr>
          <w:rFonts w:cs="Arial"/>
          <w:i/>
          <w:sz w:val="20"/>
          <w:highlight w:val="yellow"/>
        </w:rPr>
        <w:t>bude doplněno před uzavřením smlouvy</w:t>
      </w:r>
      <w:r w:rsidR="00250E06">
        <w:rPr>
          <w:rFonts w:cs="Arial"/>
          <w:sz w:val="20"/>
        </w:rPr>
        <w:t>]</w:t>
      </w:r>
      <w:r w:rsidR="00BA024D">
        <w:rPr>
          <w:rFonts w:cs="Arial"/>
          <w:sz w:val="20"/>
        </w:rPr>
        <w:t xml:space="preserve"> a evidované pod číslem v CES </w:t>
      </w:r>
      <w:r w:rsidRPr="00DC4427" w:rsidR="00250E06">
        <w:rPr>
          <w:rFonts w:cs="Arial"/>
          <w:sz w:val="20"/>
          <w:highlight w:val="yellow"/>
        </w:rPr>
        <w:t>[</w:t>
      </w:r>
      <w:r w:rsidRPr="00DC4427" w:rsidR="00250E06">
        <w:rPr>
          <w:rFonts w:cs="Arial"/>
          <w:i/>
          <w:sz w:val="20"/>
          <w:highlight w:val="yellow"/>
        </w:rPr>
        <w:t>bude doplněno před uzavřením smlouvy</w:t>
      </w:r>
      <w:r w:rsidR="00250E06">
        <w:rPr>
          <w:rFonts w:cs="Arial"/>
          <w:sz w:val="20"/>
        </w:rPr>
        <w:t>]</w:t>
      </w:r>
      <w:r w:rsidRPr="002408EF" w:rsidR="00250E06">
        <w:rPr>
          <w:rFonts w:cs="Arial"/>
          <w:sz w:val="20"/>
        </w:rPr>
        <w:t xml:space="preserve"> </w:t>
      </w:r>
      <w:r w:rsidRPr="002408EF" w:rsidR="00D513D0">
        <w:rPr>
          <w:rFonts w:cs="Arial"/>
          <w:sz w:val="20"/>
        </w:rPr>
        <w:t>(dále také „vzájemná spolupráce“)</w:t>
      </w:r>
      <w:r w:rsidRPr="002408EF" w:rsidR="008E51DA">
        <w:rPr>
          <w:rFonts w:cs="Arial"/>
          <w:sz w:val="20"/>
        </w:rPr>
        <w:t>.</w:t>
      </w:r>
    </w:p>
    <w:p w:rsidRPr="002408EF" w:rsidR="00FA4D69" w:rsidP="00FA4D69" w:rsidRDefault="00FA4D69" w14:paraId="345602D6" w14:textId="77777777">
      <w:pPr>
        <w:jc w:val="both"/>
        <w:rPr>
          <w:rFonts w:cs="Arial"/>
          <w:sz w:val="20"/>
        </w:rPr>
      </w:pPr>
    </w:p>
    <w:p w:rsidRPr="002408EF" w:rsidR="00292458" w:rsidP="003645D1" w:rsidRDefault="00292458" w14:paraId="62B7A08F" w14:textId="77777777">
      <w:pPr>
        <w:numPr>
          <w:ilvl w:val="0"/>
          <w:numId w:val="1"/>
        </w:numPr>
        <w:ind w:left="284" w:hanging="284"/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Předmětem Dohody je bližší vymezení důvěrných </w:t>
      </w:r>
      <w:r w:rsidRPr="002408EF" w:rsidR="000B7692">
        <w:rPr>
          <w:rFonts w:cs="Arial"/>
          <w:sz w:val="20"/>
        </w:rPr>
        <w:t>informací MMR</w:t>
      </w:r>
      <w:r w:rsidRPr="002408EF" w:rsidR="00BD2762">
        <w:rPr>
          <w:rFonts w:cs="Arial"/>
          <w:sz w:val="20"/>
        </w:rPr>
        <w:t xml:space="preserve"> </w:t>
      </w:r>
      <w:r w:rsidRPr="002408EF" w:rsidR="003645D1">
        <w:rPr>
          <w:rFonts w:cs="Arial"/>
          <w:sz w:val="20"/>
        </w:rPr>
        <w:t>a převzetí závazku Partnera zachovat o těchto důvěrných informacích mlčenlivost a nesdělit je</w:t>
      </w:r>
      <w:r w:rsidRPr="002408EF" w:rsidR="00BD2762">
        <w:rPr>
          <w:rFonts w:cs="Arial"/>
          <w:sz w:val="20"/>
        </w:rPr>
        <w:t>,</w:t>
      </w:r>
      <w:r w:rsidRPr="002408EF" w:rsidR="003645D1">
        <w:rPr>
          <w:rFonts w:cs="Arial"/>
          <w:sz w:val="20"/>
        </w:rPr>
        <w:t xml:space="preserve"> ani neumožnit k nim přístup třetím osobám, nebo je nevyužít ve svůj prospěch nebo ve prospěch třetích osob, není-li v této Dohodě stanoveno jinak.</w:t>
      </w:r>
    </w:p>
    <w:p w:rsidRPr="002408EF" w:rsidR="00292458" w:rsidP="00292458" w:rsidRDefault="00292458" w14:paraId="39977F77" w14:textId="77777777">
      <w:pPr>
        <w:pStyle w:val="Odstavecseseznamem"/>
        <w:rPr>
          <w:rFonts w:cs="Arial"/>
          <w:sz w:val="20"/>
        </w:rPr>
      </w:pPr>
    </w:p>
    <w:p w:rsidRPr="002408EF" w:rsidR="00504C94" w:rsidP="00340DA6" w:rsidRDefault="00FA4D69" w14:paraId="0401D931" w14:textId="77777777">
      <w:pPr>
        <w:numPr>
          <w:ilvl w:val="0"/>
          <w:numId w:val="1"/>
        </w:numPr>
        <w:spacing w:after="120"/>
        <w:ind w:left="284" w:hanging="284"/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Za </w:t>
      </w:r>
      <w:r w:rsidRPr="002408EF" w:rsidR="002608CA">
        <w:rPr>
          <w:rFonts w:cs="Arial"/>
          <w:sz w:val="20"/>
        </w:rPr>
        <w:t>d</w:t>
      </w:r>
      <w:r w:rsidRPr="002408EF">
        <w:rPr>
          <w:rFonts w:cs="Arial"/>
          <w:sz w:val="20"/>
        </w:rPr>
        <w:t>ůvěrné informace</w:t>
      </w:r>
      <w:r w:rsidRPr="002408EF" w:rsidR="00D513D0">
        <w:rPr>
          <w:rFonts w:cs="Arial"/>
          <w:sz w:val="20"/>
        </w:rPr>
        <w:t xml:space="preserve"> MMR</w:t>
      </w:r>
      <w:r w:rsidRPr="002408EF">
        <w:rPr>
          <w:rFonts w:cs="Arial"/>
          <w:sz w:val="20"/>
        </w:rPr>
        <w:t xml:space="preserve"> se pro účely této </w:t>
      </w:r>
      <w:r w:rsidRPr="002408EF" w:rsidR="00D513D0">
        <w:rPr>
          <w:rFonts w:cs="Arial"/>
          <w:sz w:val="20"/>
        </w:rPr>
        <w:t>Dohody a</w:t>
      </w:r>
      <w:r w:rsidRPr="002408EF" w:rsidR="004B0E37">
        <w:rPr>
          <w:rFonts w:cs="Arial"/>
          <w:sz w:val="20"/>
        </w:rPr>
        <w:t xml:space="preserve"> </w:t>
      </w:r>
      <w:r w:rsidRPr="002408EF" w:rsidR="00D513D0">
        <w:rPr>
          <w:rFonts w:cs="Arial"/>
          <w:sz w:val="20"/>
        </w:rPr>
        <w:t>po celou dobu trvání vzájemné spolupráce</w:t>
      </w:r>
      <w:r w:rsidRPr="002408EF" w:rsidR="00243C5C">
        <w:rPr>
          <w:rFonts w:cs="Arial"/>
          <w:sz w:val="20"/>
        </w:rPr>
        <w:t xml:space="preserve"> považují, bez ohledu na formu a způsob</w:t>
      </w:r>
      <w:r w:rsidRPr="002408EF" w:rsidR="004B0E37">
        <w:rPr>
          <w:rFonts w:cs="Arial"/>
          <w:sz w:val="20"/>
        </w:rPr>
        <w:t xml:space="preserve"> jejich sdělení či zachycení a </w:t>
      </w:r>
      <w:r w:rsidRPr="002408EF" w:rsidR="00243C5C">
        <w:rPr>
          <w:rFonts w:cs="Arial"/>
          <w:sz w:val="20"/>
        </w:rPr>
        <w:t>až do</w:t>
      </w:r>
      <w:r w:rsidRPr="002408EF" w:rsidR="00451E1B">
        <w:rPr>
          <w:rFonts w:cs="Arial"/>
          <w:sz w:val="20"/>
        </w:rPr>
        <w:t> </w:t>
      </w:r>
      <w:r w:rsidRPr="002408EF" w:rsidR="00243C5C">
        <w:rPr>
          <w:rFonts w:cs="Arial"/>
          <w:sz w:val="20"/>
        </w:rPr>
        <w:t>do</w:t>
      </w:r>
      <w:r w:rsidRPr="002408EF" w:rsidR="004B0E37">
        <w:rPr>
          <w:rFonts w:cs="Arial"/>
          <w:sz w:val="20"/>
        </w:rPr>
        <w:t xml:space="preserve">by jejich zveřejnění, jakékoli a všechny skutečnosti, které se Partner v průběhu vzájemné spolupráce dozví </w:t>
      </w:r>
      <w:r w:rsidRPr="002408EF" w:rsidR="003A1C9D">
        <w:rPr>
          <w:rFonts w:cs="Arial"/>
          <w:sz w:val="20"/>
        </w:rPr>
        <w:t xml:space="preserve">nebo které </w:t>
      </w:r>
      <w:r w:rsidRPr="002408EF" w:rsidR="003A1C9D">
        <w:rPr>
          <w:rFonts w:cs="Arial"/>
          <w:sz w:val="20"/>
        </w:rPr>
        <w:lastRenderedPageBreak/>
        <w:t xml:space="preserve">mu MMR v průběhu </w:t>
      </w:r>
      <w:r w:rsidRPr="002408EF" w:rsidR="006F25AD">
        <w:rPr>
          <w:rFonts w:cs="Arial"/>
          <w:sz w:val="20"/>
        </w:rPr>
        <w:t>vzájemné spolupráce zpřístupní</w:t>
      </w:r>
      <w:r w:rsidRPr="002408EF" w:rsidR="00BD2762">
        <w:rPr>
          <w:rFonts w:cs="Arial"/>
          <w:sz w:val="20"/>
        </w:rPr>
        <w:t xml:space="preserve"> </w:t>
      </w:r>
      <w:r w:rsidRPr="002408EF" w:rsidR="003A1C9D">
        <w:rPr>
          <w:rFonts w:cs="Arial"/>
          <w:sz w:val="20"/>
        </w:rPr>
        <w:t>(dá</w:t>
      </w:r>
      <w:r w:rsidRPr="002408EF" w:rsidR="002F2FAA">
        <w:rPr>
          <w:rFonts w:cs="Arial"/>
          <w:sz w:val="20"/>
        </w:rPr>
        <w:t>l</w:t>
      </w:r>
      <w:r w:rsidRPr="002408EF" w:rsidR="003A1C9D">
        <w:rPr>
          <w:rFonts w:cs="Arial"/>
          <w:sz w:val="20"/>
        </w:rPr>
        <w:t>e jen „</w:t>
      </w:r>
      <w:r w:rsidRPr="002408EF" w:rsidR="002F2FAA">
        <w:rPr>
          <w:rFonts w:cs="Arial"/>
          <w:sz w:val="20"/>
        </w:rPr>
        <w:t>Důvěrn</w:t>
      </w:r>
      <w:r w:rsidRPr="002408EF" w:rsidR="00504C94">
        <w:rPr>
          <w:rFonts w:cs="Arial"/>
          <w:sz w:val="20"/>
        </w:rPr>
        <w:t>é</w:t>
      </w:r>
      <w:r w:rsidRPr="002408EF" w:rsidR="002F2FAA">
        <w:rPr>
          <w:rFonts w:cs="Arial"/>
          <w:sz w:val="20"/>
        </w:rPr>
        <w:t xml:space="preserve"> informace“). </w:t>
      </w:r>
      <w:r w:rsidRPr="002408EF" w:rsidR="00504C94">
        <w:rPr>
          <w:rFonts w:cs="Arial"/>
          <w:sz w:val="20"/>
        </w:rPr>
        <w:t>Za důvěrné informace se</w:t>
      </w:r>
      <w:r w:rsidR="002408EF">
        <w:rPr>
          <w:rFonts w:cs="Arial"/>
          <w:sz w:val="20"/>
        </w:rPr>
        <w:t> </w:t>
      </w:r>
      <w:r w:rsidRPr="002408EF" w:rsidR="00504C94">
        <w:rPr>
          <w:rFonts w:cs="Arial"/>
          <w:sz w:val="20"/>
        </w:rPr>
        <w:t xml:space="preserve">považují zejména </w:t>
      </w:r>
    </w:p>
    <w:p w:rsidRPr="002408EF" w:rsidR="00504C94" w:rsidP="00504C94" w:rsidRDefault="00451E1B" w14:paraId="55F5E1ED" w14:textId="77777777">
      <w:pPr>
        <w:pStyle w:val="Odstavecseseznamem"/>
        <w:numPr>
          <w:ilvl w:val="0"/>
          <w:numId w:val="8"/>
        </w:numPr>
        <w:rPr>
          <w:rFonts w:cs="Arial"/>
          <w:sz w:val="20"/>
        </w:rPr>
      </w:pPr>
      <w:r w:rsidRPr="002408EF">
        <w:rPr>
          <w:rFonts w:cs="Arial"/>
          <w:sz w:val="20"/>
        </w:rPr>
        <w:t>p</w:t>
      </w:r>
      <w:r w:rsidRPr="002408EF" w:rsidR="00504C94">
        <w:rPr>
          <w:rFonts w:cs="Arial"/>
          <w:sz w:val="20"/>
        </w:rPr>
        <w:t>rocesy</w:t>
      </w:r>
      <w:r w:rsidRPr="002408EF" w:rsidR="00A96D32">
        <w:rPr>
          <w:rFonts w:cs="Arial"/>
          <w:sz w:val="20"/>
        </w:rPr>
        <w:t xml:space="preserve"> popisující vnitřní kontrolní systém,</w:t>
      </w:r>
      <w:r w:rsidRPr="002408EF" w:rsidR="00504C94">
        <w:rPr>
          <w:rFonts w:cs="Arial"/>
          <w:sz w:val="20"/>
        </w:rPr>
        <w:t xml:space="preserve"> které nejsou veřejné dostupné</w:t>
      </w:r>
      <w:r w:rsidRPr="002408EF" w:rsidR="00A96D32">
        <w:rPr>
          <w:rFonts w:cs="Arial"/>
          <w:sz w:val="20"/>
        </w:rPr>
        <w:t>,</w:t>
      </w:r>
    </w:p>
    <w:p w:rsidRPr="002408EF" w:rsidR="00504C94" w:rsidP="00504C94" w:rsidRDefault="00A96D32" w14:paraId="54E9129E" w14:textId="77777777">
      <w:pPr>
        <w:pStyle w:val="Odstavecseseznamem"/>
        <w:numPr>
          <w:ilvl w:val="0"/>
          <w:numId w:val="8"/>
        </w:numPr>
        <w:rPr>
          <w:rFonts w:cs="Arial"/>
          <w:sz w:val="20"/>
        </w:rPr>
      </w:pPr>
      <w:r w:rsidRPr="002408EF">
        <w:rPr>
          <w:rFonts w:cs="Arial"/>
          <w:sz w:val="20"/>
        </w:rPr>
        <w:t>interní dokumenty poskytnuté pro fázi analýzy dokumentů,</w:t>
      </w:r>
    </w:p>
    <w:p w:rsidRPr="002408EF" w:rsidR="00A96D32" w:rsidP="00504C94" w:rsidRDefault="00A96D32" w14:paraId="0C7C2938" w14:textId="77777777">
      <w:pPr>
        <w:pStyle w:val="Odstavecseseznamem"/>
        <w:numPr>
          <w:ilvl w:val="0"/>
          <w:numId w:val="8"/>
        </w:numPr>
        <w:rPr>
          <w:rFonts w:cs="Arial"/>
          <w:sz w:val="20"/>
        </w:rPr>
      </w:pPr>
      <w:r w:rsidRPr="002408EF">
        <w:rPr>
          <w:rFonts w:cs="Arial"/>
          <w:sz w:val="20"/>
        </w:rPr>
        <w:t>informace a výstupy získané v rámci dotazníkového šetření,</w:t>
      </w:r>
    </w:p>
    <w:p w:rsidRPr="002408EF" w:rsidR="00504C94" w:rsidP="00DF49E8" w:rsidRDefault="0045754E" w14:paraId="1245F973" w14:textId="77777777">
      <w:pPr>
        <w:pStyle w:val="Odstavecseseznamem"/>
        <w:numPr>
          <w:ilvl w:val="0"/>
          <w:numId w:val="8"/>
        </w:num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informace, které MMR </w:t>
      </w:r>
      <w:r w:rsidRPr="002408EF" w:rsidR="00FC526B">
        <w:rPr>
          <w:rFonts w:cs="Arial"/>
          <w:sz w:val="20"/>
        </w:rPr>
        <w:t xml:space="preserve">písemně </w:t>
      </w:r>
      <w:r w:rsidRPr="002408EF">
        <w:rPr>
          <w:rFonts w:cs="Arial"/>
          <w:sz w:val="20"/>
        </w:rPr>
        <w:t xml:space="preserve">označí jako </w:t>
      </w:r>
      <w:r w:rsidRPr="002408EF" w:rsidR="00FC526B">
        <w:rPr>
          <w:rFonts w:cs="Arial"/>
          <w:sz w:val="20"/>
        </w:rPr>
        <w:t>D</w:t>
      </w:r>
      <w:r w:rsidRPr="002408EF" w:rsidR="00F90C9C">
        <w:rPr>
          <w:rFonts w:cs="Arial"/>
          <w:sz w:val="20"/>
        </w:rPr>
        <w:t>Ů</w:t>
      </w:r>
      <w:r w:rsidRPr="002408EF" w:rsidR="00FC526B">
        <w:rPr>
          <w:rFonts w:cs="Arial"/>
          <w:sz w:val="20"/>
        </w:rPr>
        <w:t>V</w:t>
      </w:r>
      <w:r w:rsidRPr="002408EF" w:rsidR="00F90C9C">
        <w:rPr>
          <w:rFonts w:cs="Arial"/>
          <w:sz w:val="20"/>
        </w:rPr>
        <w:t>Ě</w:t>
      </w:r>
      <w:r w:rsidRPr="002408EF" w:rsidR="00FC526B">
        <w:rPr>
          <w:rFonts w:cs="Arial"/>
          <w:sz w:val="20"/>
        </w:rPr>
        <w:t>RN</w:t>
      </w:r>
      <w:r w:rsidRPr="002408EF" w:rsidR="00F90C9C">
        <w:rPr>
          <w:rFonts w:cs="Arial"/>
          <w:sz w:val="20"/>
        </w:rPr>
        <w:t>É</w:t>
      </w:r>
      <w:r w:rsidRPr="002408EF">
        <w:rPr>
          <w:rFonts w:cs="Arial"/>
          <w:sz w:val="20"/>
        </w:rPr>
        <w:t>.</w:t>
      </w:r>
    </w:p>
    <w:p w:rsidR="002F2FAA" w:rsidP="00DF49E8" w:rsidRDefault="002F2FAA" w14:paraId="217F7BC8" w14:textId="77777777">
      <w:pPr>
        <w:ind w:left="284"/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>Důvěrnými informacemi jsou všechny výše uvedené informace, a to i tehdy pokud je nelze považovat za obchodní tajemství ve smyslu ustanovení § 504 občanského zákoníku.</w:t>
      </w:r>
    </w:p>
    <w:p w:rsidRPr="002408EF" w:rsidR="00340DA6" w:rsidP="00DF49E8" w:rsidRDefault="00340DA6" w14:paraId="32BC7AAE" w14:textId="77777777">
      <w:pPr>
        <w:ind w:left="284"/>
        <w:jc w:val="both"/>
        <w:rPr>
          <w:rFonts w:cs="Arial"/>
          <w:sz w:val="20"/>
        </w:rPr>
      </w:pPr>
    </w:p>
    <w:p w:rsidRPr="002408EF" w:rsidR="00FA4D69" w:rsidP="00FA4D69" w:rsidRDefault="005E5FEB" w14:paraId="03BB2295" w14:textId="77777777">
      <w:pPr>
        <w:numPr>
          <w:ilvl w:val="0"/>
          <w:numId w:val="1"/>
        </w:numPr>
        <w:ind w:left="284" w:hanging="284"/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Zveřejněním se pro účely této Dohody rozumí zpřístupnění Důvěrných </w:t>
      </w:r>
      <w:r w:rsidRPr="002408EF" w:rsidR="00942DE1">
        <w:rPr>
          <w:rFonts w:cs="Arial"/>
          <w:sz w:val="20"/>
        </w:rPr>
        <w:t>informací</w:t>
      </w:r>
      <w:r w:rsidRPr="002408EF">
        <w:rPr>
          <w:rFonts w:cs="Arial"/>
          <w:sz w:val="20"/>
        </w:rPr>
        <w:t xml:space="preserve"> třetí osobě nebo osobám ze strany nebo na příkaz MMR, nebo tak, že se předmětné </w:t>
      </w:r>
      <w:r w:rsidRPr="002408EF" w:rsidR="00942DE1">
        <w:rPr>
          <w:rFonts w:cs="Arial"/>
          <w:sz w:val="20"/>
        </w:rPr>
        <w:t>Důvěrné</w:t>
      </w:r>
      <w:r w:rsidRPr="002408EF">
        <w:rPr>
          <w:rFonts w:cs="Arial"/>
          <w:sz w:val="20"/>
        </w:rPr>
        <w:t xml:space="preserve"> informace stanou obecně známými, aniž by byla porušena tato Dohoda, jiné smluvní ujednání nebo příslušný právní předpis. </w:t>
      </w:r>
    </w:p>
    <w:p w:rsidRPr="002408EF" w:rsidR="00BB23AF" w:rsidP="00FF322F" w:rsidRDefault="00BB23AF" w14:paraId="3D2A588A" w14:textId="77777777">
      <w:pPr>
        <w:ind w:left="284"/>
        <w:jc w:val="both"/>
        <w:rPr>
          <w:rFonts w:cs="Arial"/>
          <w:sz w:val="20"/>
        </w:rPr>
      </w:pPr>
    </w:p>
    <w:p w:rsidRPr="002408EF" w:rsidR="005E5FEB" w:rsidP="00DF49E8" w:rsidRDefault="005E5FEB" w14:paraId="1C9378A2" w14:textId="77777777">
      <w:pPr>
        <w:jc w:val="both"/>
        <w:rPr>
          <w:rFonts w:cs="Arial"/>
          <w:sz w:val="20"/>
        </w:rPr>
      </w:pPr>
    </w:p>
    <w:p w:rsidRPr="002408EF" w:rsidR="00FA4D69" w:rsidP="00C17CCF" w:rsidRDefault="00C17CCF" w14:paraId="608791CD" w14:textId="77777777">
      <w:pPr>
        <w:jc w:val="center"/>
        <w:rPr>
          <w:rFonts w:cs="Arial"/>
          <w:b/>
          <w:sz w:val="20"/>
        </w:rPr>
      </w:pPr>
      <w:r w:rsidRPr="002408EF">
        <w:rPr>
          <w:rFonts w:cs="Arial"/>
          <w:b/>
          <w:sz w:val="20"/>
        </w:rPr>
        <w:t>II.</w:t>
      </w:r>
    </w:p>
    <w:p w:rsidRPr="002408EF" w:rsidR="00C17CCF" w:rsidP="00C17CCF" w:rsidRDefault="00C17CCF" w14:paraId="4BF15318" w14:textId="77777777">
      <w:pPr>
        <w:jc w:val="center"/>
        <w:rPr>
          <w:rFonts w:cs="Arial"/>
          <w:b/>
          <w:sz w:val="20"/>
        </w:rPr>
      </w:pPr>
      <w:r w:rsidRPr="002408EF">
        <w:rPr>
          <w:rFonts w:cs="Arial"/>
          <w:b/>
          <w:sz w:val="20"/>
        </w:rPr>
        <w:t>Povinnosti Partnera</w:t>
      </w:r>
    </w:p>
    <w:p w:rsidRPr="002408EF" w:rsidR="00BB23AF" w:rsidP="00C17CCF" w:rsidRDefault="00BB23AF" w14:paraId="040D8F99" w14:textId="77777777">
      <w:pPr>
        <w:jc w:val="center"/>
        <w:rPr>
          <w:rFonts w:cs="Arial"/>
          <w:b/>
          <w:sz w:val="20"/>
        </w:rPr>
      </w:pPr>
    </w:p>
    <w:p w:rsidRPr="002408EF" w:rsidR="00C17CCF" w:rsidP="00C17CCF" w:rsidRDefault="00C17CCF" w14:paraId="174A85D3" w14:textId="77777777">
      <w:pPr>
        <w:jc w:val="center"/>
        <w:rPr>
          <w:rFonts w:cs="Arial"/>
          <w:sz w:val="20"/>
        </w:rPr>
      </w:pPr>
    </w:p>
    <w:p w:rsidRPr="002408EF" w:rsidR="00FA4D69" w:rsidP="00FA4D69" w:rsidRDefault="002D4899" w14:paraId="20FCADB2" w14:textId="77777777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>Partner</w:t>
      </w:r>
      <w:r w:rsidRPr="002408EF" w:rsidR="00FA4D69">
        <w:rPr>
          <w:rFonts w:cs="Arial"/>
          <w:sz w:val="20"/>
        </w:rPr>
        <w:t xml:space="preserve"> se uzavřením této </w:t>
      </w:r>
      <w:r w:rsidRPr="002408EF">
        <w:rPr>
          <w:rFonts w:cs="Arial"/>
          <w:sz w:val="20"/>
        </w:rPr>
        <w:t>D</w:t>
      </w:r>
      <w:r w:rsidRPr="002408EF" w:rsidR="00FA4D69">
        <w:rPr>
          <w:rFonts w:cs="Arial"/>
          <w:sz w:val="20"/>
        </w:rPr>
        <w:t>ohody zavazuje zachovávat mlčenlivost o získaných Důvěrných informacích a nešířit získané Důvěrné informace ani neumožnit k nim přístup třetím osobám, s výjimkami stanovenými touto dohodou.</w:t>
      </w:r>
    </w:p>
    <w:p w:rsidRPr="002408EF" w:rsidR="00FA4D69" w:rsidP="00FA4D69" w:rsidRDefault="00FA4D69" w14:paraId="18A0486E" w14:textId="77777777">
      <w:pPr>
        <w:ind w:left="284"/>
        <w:jc w:val="both"/>
        <w:rPr>
          <w:rFonts w:cs="Arial"/>
          <w:sz w:val="20"/>
        </w:rPr>
      </w:pPr>
    </w:p>
    <w:p w:rsidRPr="002408EF" w:rsidR="00FA4D69" w:rsidP="00FA4D69" w:rsidRDefault="002D4899" w14:paraId="5807515E" w14:textId="77777777">
      <w:pPr>
        <w:pStyle w:val="BodyTextIndent31"/>
        <w:numPr>
          <w:ilvl w:val="0"/>
          <w:numId w:val="3"/>
        </w:numPr>
        <w:ind w:left="284" w:hanging="284"/>
        <w:rPr>
          <w:rFonts w:cs="Arial"/>
          <w:sz w:val="20"/>
        </w:rPr>
      </w:pPr>
      <w:r w:rsidRPr="002408EF">
        <w:rPr>
          <w:rFonts w:cs="Arial"/>
          <w:sz w:val="20"/>
        </w:rPr>
        <w:t>Partner</w:t>
      </w:r>
      <w:r w:rsidRPr="002408EF" w:rsidR="00FA4D69">
        <w:rPr>
          <w:rFonts w:cs="Arial"/>
          <w:sz w:val="20"/>
        </w:rPr>
        <w:t xml:space="preserve"> se zavazuje, že bude přijaté Důvěrné informace používat pouze pro účely, pro</w:t>
      </w:r>
      <w:r w:rsidRPr="002408EF" w:rsidR="00451E1B">
        <w:rPr>
          <w:rFonts w:cs="Arial"/>
          <w:sz w:val="20"/>
        </w:rPr>
        <w:t> </w:t>
      </w:r>
      <w:r w:rsidRPr="002408EF" w:rsidR="00FA4D69">
        <w:rPr>
          <w:rFonts w:cs="Arial"/>
          <w:sz w:val="20"/>
        </w:rPr>
        <w:t xml:space="preserve">které byly poskytnuty. </w:t>
      </w:r>
      <w:r w:rsidRPr="002408EF">
        <w:rPr>
          <w:rFonts w:cs="Arial"/>
          <w:sz w:val="20"/>
        </w:rPr>
        <w:t>Partner</w:t>
      </w:r>
      <w:r w:rsidRPr="002408EF" w:rsidR="00FA4D69">
        <w:rPr>
          <w:rFonts w:cs="Arial"/>
          <w:sz w:val="20"/>
        </w:rPr>
        <w:t xml:space="preserve"> je oprávněn poskytnout Důvěrné informace třetím osobám (spolupracovníci, zaměstnanci, sub</w:t>
      </w:r>
      <w:r w:rsidRPr="002408EF">
        <w:rPr>
          <w:rFonts w:cs="Arial"/>
          <w:sz w:val="20"/>
        </w:rPr>
        <w:t>dodavatelé</w:t>
      </w:r>
      <w:r w:rsidRPr="002408EF" w:rsidR="00FA4D69">
        <w:rPr>
          <w:rFonts w:cs="Arial"/>
          <w:sz w:val="20"/>
        </w:rPr>
        <w:t xml:space="preserve"> apod.) jen pokud je to nezbytné pro naplnění účelu, pro který byly Důvěrné informace </w:t>
      </w:r>
      <w:r w:rsidRPr="002408EF">
        <w:rPr>
          <w:rFonts w:cs="Arial"/>
          <w:sz w:val="20"/>
        </w:rPr>
        <w:t>MMR</w:t>
      </w:r>
      <w:r w:rsidRPr="002408EF" w:rsidR="00FA4D69">
        <w:rPr>
          <w:rFonts w:cs="Arial"/>
          <w:sz w:val="20"/>
        </w:rPr>
        <w:t xml:space="preserve"> </w:t>
      </w:r>
      <w:r w:rsidRPr="002408EF">
        <w:rPr>
          <w:rFonts w:cs="Arial"/>
          <w:sz w:val="20"/>
        </w:rPr>
        <w:t xml:space="preserve">Partnerovi </w:t>
      </w:r>
      <w:r w:rsidRPr="002408EF" w:rsidR="00FA4D69">
        <w:rPr>
          <w:rFonts w:cs="Arial"/>
          <w:sz w:val="20"/>
        </w:rPr>
        <w:t xml:space="preserve">poskytnuty, a to pouze v takovém rozsahu, který je nezbytný; v takovém případě je </w:t>
      </w:r>
      <w:r w:rsidRPr="002408EF">
        <w:rPr>
          <w:rFonts w:cs="Arial"/>
          <w:sz w:val="20"/>
        </w:rPr>
        <w:t>Partner</w:t>
      </w:r>
      <w:r w:rsidRPr="002408EF" w:rsidR="00FA4D69">
        <w:rPr>
          <w:rFonts w:cs="Arial"/>
          <w:sz w:val="20"/>
        </w:rPr>
        <w:t xml:space="preserve"> povinen zavázat tyto subjekty mlčenlivostí podle podmínek této </w:t>
      </w:r>
      <w:r w:rsidRPr="002408EF" w:rsidR="00F607DE">
        <w:rPr>
          <w:rFonts w:cs="Arial"/>
          <w:sz w:val="20"/>
        </w:rPr>
        <w:t>D</w:t>
      </w:r>
      <w:r w:rsidRPr="002408EF" w:rsidR="00FA4D69">
        <w:rPr>
          <w:rFonts w:cs="Arial"/>
          <w:sz w:val="20"/>
        </w:rPr>
        <w:t xml:space="preserve">ohody a v případě porušení této povinnosti nese za tyto osoby vůči </w:t>
      </w:r>
      <w:r w:rsidRPr="002408EF">
        <w:rPr>
          <w:rFonts w:cs="Arial"/>
          <w:sz w:val="20"/>
        </w:rPr>
        <w:t>MMR</w:t>
      </w:r>
      <w:r w:rsidRPr="002408EF" w:rsidR="00FA4D69">
        <w:rPr>
          <w:rFonts w:cs="Arial"/>
          <w:sz w:val="20"/>
        </w:rPr>
        <w:t xml:space="preserve"> odpovědnost.</w:t>
      </w:r>
    </w:p>
    <w:p w:rsidRPr="002408EF" w:rsidR="00FA4D69" w:rsidP="00FA4D69" w:rsidRDefault="00FA4D69" w14:paraId="2BC95FD6" w14:textId="77777777">
      <w:pPr>
        <w:pStyle w:val="Odstavecseseznamem"/>
        <w:rPr>
          <w:rFonts w:cs="Arial"/>
          <w:sz w:val="20"/>
        </w:rPr>
      </w:pPr>
    </w:p>
    <w:p w:rsidRPr="002408EF" w:rsidR="00FA4D69" w:rsidP="00FA4D69" w:rsidRDefault="002D4899" w14:paraId="676E62AA" w14:textId="77777777">
      <w:pPr>
        <w:pStyle w:val="BodyTextIndent31"/>
        <w:numPr>
          <w:ilvl w:val="0"/>
          <w:numId w:val="3"/>
        </w:numPr>
        <w:ind w:left="284" w:hanging="284"/>
        <w:rPr>
          <w:rFonts w:cs="Arial"/>
          <w:sz w:val="20"/>
        </w:rPr>
      </w:pPr>
      <w:r w:rsidRPr="002408EF">
        <w:rPr>
          <w:rFonts w:cs="Arial"/>
          <w:sz w:val="20"/>
        </w:rPr>
        <w:t>Partner</w:t>
      </w:r>
      <w:r w:rsidRPr="002408EF" w:rsidR="00FA4D69">
        <w:rPr>
          <w:rFonts w:cs="Arial"/>
          <w:sz w:val="20"/>
        </w:rPr>
        <w:t xml:space="preserve"> je oprávněn uchovávat Důvěrné informace pouze pro </w:t>
      </w:r>
      <w:r w:rsidRPr="002408EF" w:rsidR="00F4532D">
        <w:rPr>
          <w:rFonts w:cs="Arial"/>
          <w:sz w:val="20"/>
        </w:rPr>
        <w:t>d</w:t>
      </w:r>
      <w:r w:rsidRPr="002408EF" w:rsidR="00FA4D69">
        <w:rPr>
          <w:rFonts w:cs="Arial"/>
          <w:sz w:val="20"/>
        </w:rPr>
        <w:t xml:space="preserve">ohodnutý účel, pro který byly poskytnuty. </w:t>
      </w:r>
      <w:r w:rsidRPr="002408EF">
        <w:rPr>
          <w:rFonts w:cs="Arial"/>
          <w:sz w:val="20"/>
        </w:rPr>
        <w:t>Partner</w:t>
      </w:r>
      <w:r w:rsidRPr="002408EF" w:rsidR="00FA4D69">
        <w:rPr>
          <w:rFonts w:cs="Arial"/>
          <w:sz w:val="20"/>
        </w:rPr>
        <w:t xml:space="preserve"> nebude žádným způsobem Důvěrné informace rozmnožovat, </w:t>
      </w:r>
      <w:r w:rsidRPr="002408EF">
        <w:rPr>
          <w:rFonts w:cs="Arial"/>
          <w:sz w:val="20"/>
        </w:rPr>
        <w:br/>
      </w:r>
      <w:r w:rsidRPr="002408EF" w:rsidR="00FA4D69">
        <w:rPr>
          <w:rFonts w:cs="Arial"/>
          <w:sz w:val="20"/>
        </w:rPr>
        <w:t>s výjimkou rozsahu, který je nezbytný pro vzájemnou spolupráci.</w:t>
      </w:r>
    </w:p>
    <w:p w:rsidRPr="002408EF" w:rsidR="00FA4D69" w:rsidP="00FA4D69" w:rsidRDefault="00FA4D69" w14:paraId="10CC105E" w14:textId="77777777">
      <w:pPr>
        <w:pStyle w:val="Odstavecseseznamem"/>
        <w:rPr>
          <w:rFonts w:cs="Arial"/>
          <w:sz w:val="20"/>
        </w:rPr>
      </w:pPr>
    </w:p>
    <w:p w:rsidRPr="002408EF" w:rsidR="00FA4D69" w:rsidP="00FA4D69" w:rsidRDefault="002D4899" w14:paraId="7F9C9C3E" w14:textId="77777777">
      <w:pPr>
        <w:pStyle w:val="BodyTextIndent31"/>
        <w:numPr>
          <w:ilvl w:val="0"/>
          <w:numId w:val="3"/>
        </w:numPr>
        <w:ind w:left="284" w:hanging="284"/>
        <w:rPr>
          <w:rFonts w:cs="Arial"/>
          <w:sz w:val="20"/>
        </w:rPr>
      </w:pPr>
      <w:r w:rsidRPr="002408EF">
        <w:rPr>
          <w:rFonts w:cs="Arial"/>
          <w:sz w:val="20"/>
        </w:rPr>
        <w:t>Partner</w:t>
      </w:r>
      <w:r w:rsidRPr="002408EF" w:rsidR="00FA4D69">
        <w:rPr>
          <w:rFonts w:cs="Arial"/>
          <w:sz w:val="20"/>
        </w:rPr>
        <w:t xml:space="preserve"> se zavazuje, že bude Důvěrné informace chránit nejméně stejným způsobem, jako chrání své vlastní </w:t>
      </w:r>
      <w:r w:rsidRPr="002408EF">
        <w:rPr>
          <w:rFonts w:cs="Arial"/>
          <w:sz w:val="20"/>
        </w:rPr>
        <w:t>D</w:t>
      </w:r>
      <w:r w:rsidRPr="002408EF" w:rsidR="00FA4D69">
        <w:rPr>
          <w:rFonts w:cs="Arial"/>
          <w:sz w:val="20"/>
        </w:rPr>
        <w:t xml:space="preserve">ůvěrné informace, ale vždy alespoň s všeobecně uznávanou mírou rozumné péče. </w:t>
      </w:r>
    </w:p>
    <w:p w:rsidRPr="002408EF" w:rsidR="00FA4D69" w:rsidP="00FA4D69" w:rsidRDefault="00FA4D69" w14:paraId="3622FC45" w14:textId="77777777">
      <w:pPr>
        <w:pStyle w:val="Odstavecseseznamem"/>
        <w:rPr>
          <w:rFonts w:cs="Arial"/>
          <w:sz w:val="20"/>
        </w:rPr>
      </w:pPr>
    </w:p>
    <w:p w:rsidRPr="002408EF" w:rsidR="00FA4D69" w:rsidP="00FA4D69" w:rsidRDefault="002D4899" w14:paraId="7734C5BE" w14:textId="77777777">
      <w:pPr>
        <w:pStyle w:val="BodyTextIndent31"/>
        <w:numPr>
          <w:ilvl w:val="0"/>
          <w:numId w:val="3"/>
        </w:numPr>
        <w:ind w:left="284" w:hanging="284"/>
        <w:rPr>
          <w:rFonts w:cs="Arial"/>
          <w:sz w:val="20"/>
        </w:rPr>
      </w:pPr>
      <w:r w:rsidRPr="002408EF">
        <w:rPr>
          <w:rFonts w:cs="Arial"/>
          <w:sz w:val="20"/>
        </w:rPr>
        <w:t>Partner</w:t>
      </w:r>
      <w:r w:rsidRPr="002408EF" w:rsidR="00FA4D69">
        <w:rPr>
          <w:rFonts w:cs="Arial"/>
          <w:sz w:val="20"/>
        </w:rPr>
        <w:t xml:space="preserve"> se zavazuje, že po naplnění účelu, pro který byly Důvěrné informace poskytnuty, na žádost </w:t>
      </w:r>
      <w:r w:rsidRPr="002408EF">
        <w:rPr>
          <w:rFonts w:cs="Arial"/>
          <w:sz w:val="20"/>
        </w:rPr>
        <w:t>MMR</w:t>
      </w:r>
      <w:r w:rsidRPr="002408EF" w:rsidR="00FA4D69">
        <w:rPr>
          <w:rFonts w:cs="Arial"/>
          <w:sz w:val="20"/>
        </w:rPr>
        <w:t xml:space="preserve"> Důvěrné informace vrátí</w:t>
      </w:r>
      <w:r w:rsidRPr="002408EF" w:rsidR="00BB23AF">
        <w:rPr>
          <w:rFonts w:cs="Arial"/>
          <w:sz w:val="20"/>
        </w:rPr>
        <w:t xml:space="preserve"> </w:t>
      </w:r>
      <w:r w:rsidRPr="002408EF" w:rsidR="00FA4D69">
        <w:rPr>
          <w:rFonts w:cs="Arial"/>
          <w:sz w:val="20"/>
        </w:rPr>
        <w:t>nebo prokazatelně zničí, respektive znehodnotí způsobem znemožňujícím rekonstrukci a identifikaci obsahu, veškeré nosiče dat či jejich části, obsahující Důvěrné informace, včetně všech jejich rozmnoženin a kopií, neukládají-li mu platné právní předpisy jejich uchovávání.</w:t>
      </w:r>
    </w:p>
    <w:p w:rsidRPr="002408EF" w:rsidR="00FA4D69" w:rsidP="00FA4D69" w:rsidRDefault="00FA4D69" w14:paraId="3E9312B1" w14:textId="77777777">
      <w:pPr>
        <w:pStyle w:val="Odstavecseseznamem"/>
        <w:rPr>
          <w:rFonts w:cs="Arial"/>
          <w:sz w:val="20"/>
        </w:rPr>
      </w:pPr>
    </w:p>
    <w:p w:rsidRPr="002408EF" w:rsidR="00FA4D69" w:rsidP="00FA4D69" w:rsidRDefault="00FA4D69" w14:paraId="2B40F621" w14:textId="77777777">
      <w:pPr>
        <w:pStyle w:val="BodyTextIndent31"/>
        <w:numPr>
          <w:ilvl w:val="0"/>
          <w:numId w:val="3"/>
        </w:numPr>
        <w:ind w:left="284" w:hanging="284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Za Důvěrné </w:t>
      </w:r>
      <w:r w:rsidRPr="002408EF" w:rsidR="00F4532D">
        <w:rPr>
          <w:rFonts w:cs="Arial"/>
          <w:sz w:val="20"/>
        </w:rPr>
        <w:t xml:space="preserve">informace </w:t>
      </w:r>
      <w:r w:rsidRPr="002408EF">
        <w:rPr>
          <w:rFonts w:cs="Arial"/>
          <w:sz w:val="20"/>
        </w:rPr>
        <w:t>nebudou nadále považovány informace:</w:t>
      </w:r>
    </w:p>
    <w:p w:rsidRPr="002408EF" w:rsidR="00FA4D69" w:rsidP="00FA4D69" w:rsidRDefault="00FA4D69" w14:paraId="762F240E" w14:textId="77777777">
      <w:pPr>
        <w:pStyle w:val="Odstavecseseznamem"/>
        <w:rPr>
          <w:rFonts w:cs="Arial"/>
          <w:sz w:val="20"/>
        </w:rPr>
      </w:pPr>
    </w:p>
    <w:p w:rsidRPr="002408EF" w:rsidR="00FA4D69" w:rsidP="00FA4D69" w:rsidRDefault="00FA4D69" w14:paraId="098725A6" w14:textId="77777777">
      <w:pPr>
        <w:pStyle w:val="BodyTextIndent31"/>
        <w:numPr>
          <w:ilvl w:val="1"/>
          <w:numId w:val="3"/>
        </w:num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zpřístupněné na pokyn či se souhlasem </w:t>
      </w:r>
      <w:r w:rsidRPr="002408EF" w:rsidR="002D4899">
        <w:rPr>
          <w:rFonts w:cs="Arial"/>
          <w:sz w:val="20"/>
        </w:rPr>
        <w:t>MMR</w:t>
      </w:r>
      <w:r w:rsidRPr="002408EF">
        <w:rPr>
          <w:rFonts w:cs="Arial"/>
          <w:sz w:val="20"/>
        </w:rPr>
        <w:t>;</w:t>
      </w:r>
    </w:p>
    <w:p w:rsidRPr="002408EF" w:rsidR="00FA4D69" w:rsidP="00FA4D69" w:rsidRDefault="00FA4D69" w14:paraId="20BC0ED3" w14:textId="77777777">
      <w:pPr>
        <w:pStyle w:val="BodyTextIndent31"/>
        <w:numPr>
          <w:ilvl w:val="1"/>
          <w:numId w:val="3"/>
        </w:numPr>
        <w:rPr>
          <w:rFonts w:cs="Arial"/>
          <w:sz w:val="20"/>
        </w:rPr>
      </w:pPr>
      <w:r w:rsidRPr="002408EF">
        <w:rPr>
          <w:rFonts w:cs="Arial"/>
          <w:sz w:val="20"/>
        </w:rPr>
        <w:t>které se stanou obecně známými, aniž by byla porušena tato Dohoda;</w:t>
      </w:r>
    </w:p>
    <w:p w:rsidRPr="002408EF" w:rsidR="00FA4D69" w:rsidP="00FA4D69" w:rsidRDefault="00FA4D69" w14:paraId="69916CFF" w14:textId="77777777">
      <w:pPr>
        <w:pStyle w:val="BodyTextIndent31"/>
        <w:numPr>
          <w:ilvl w:val="1"/>
          <w:numId w:val="3"/>
        </w:num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poskytnuté v nezbytném rozsahu, a po předchozím upozornění </w:t>
      </w:r>
      <w:r w:rsidRPr="002408EF" w:rsidR="002D4899">
        <w:rPr>
          <w:rFonts w:cs="Arial"/>
          <w:sz w:val="20"/>
        </w:rPr>
        <w:t>MMR</w:t>
      </w:r>
      <w:r w:rsidRPr="002408EF">
        <w:rPr>
          <w:rFonts w:cs="Arial"/>
          <w:sz w:val="20"/>
        </w:rPr>
        <w:t>, orgánům státní správy, popřípadě jiným osobám stanoví-li takovou povinnost zákon nebo</w:t>
      </w:r>
      <w:r w:rsidRPr="002408EF" w:rsidR="00BB23AF">
        <w:rPr>
          <w:rFonts w:cs="Arial"/>
          <w:sz w:val="20"/>
        </w:rPr>
        <w:t> </w:t>
      </w:r>
      <w:r w:rsidRPr="002408EF">
        <w:rPr>
          <w:rFonts w:cs="Arial"/>
          <w:sz w:val="20"/>
        </w:rPr>
        <w:t>pravomocné rozhodnutí příslušného soudu nebo orgánu státní správy;</w:t>
      </w:r>
    </w:p>
    <w:p w:rsidRPr="002408EF" w:rsidR="00FA4D69" w:rsidP="00FA4D69" w:rsidRDefault="00FA4D69" w14:paraId="0B0F6342" w14:textId="77777777">
      <w:pPr>
        <w:pStyle w:val="BodyTextIndent31"/>
        <w:numPr>
          <w:ilvl w:val="1"/>
          <w:numId w:val="3"/>
        </w:num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u kterých </w:t>
      </w:r>
      <w:r w:rsidRPr="002408EF" w:rsidR="002D4899">
        <w:rPr>
          <w:rFonts w:cs="Arial"/>
          <w:sz w:val="20"/>
        </w:rPr>
        <w:t>Partner</w:t>
      </w:r>
      <w:r w:rsidRPr="002408EF">
        <w:rPr>
          <w:rFonts w:cs="Arial"/>
          <w:sz w:val="20"/>
        </w:rPr>
        <w:t xml:space="preserve"> prokáže, že mu byly známy ještě před tím, než je přijal od </w:t>
      </w:r>
      <w:r w:rsidRPr="002408EF" w:rsidR="002D4899">
        <w:rPr>
          <w:rFonts w:cs="Arial"/>
          <w:sz w:val="20"/>
        </w:rPr>
        <w:t>MMR</w:t>
      </w:r>
      <w:r w:rsidRPr="002408EF">
        <w:rPr>
          <w:rFonts w:cs="Arial"/>
          <w:sz w:val="20"/>
        </w:rPr>
        <w:t>;</w:t>
      </w:r>
    </w:p>
    <w:p w:rsidRPr="002408EF" w:rsidR="00FA4D69" w:rsidP="00FA4D69" w:rsidRDefault="00FA4D69" w14:paraId="685F8EAD" w14:textId="77777777">
      <w:pPr>
        <w:pStyle w:val="BodyTextIndent31"/>
        <w:numPr>
          <w:ilvl w:val="1"/>
          <w:numId w:val="3"/>
        </w:num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které </w:t>
      </w:r>
      <w:r w:rsidRPr="002408EF" w:rsidR="002D4899">
        <w:rPr>
          <w:rFonts w:cs="Arial"/>
          <w:sz w:val="20"/>
        </w:rPr>
        <w:t>Partner</w:t>
      </w:r>
      <w:r w:rsidRPr="002408EF">
        <w:rPr>
          <w:rFonts w:cs="Arial"/>
          <w:sz w:val="20"/>
        </w:rPr>
        <w:t xml:space="preserve"> přijal od třetí strany za podmínky, že nebyl porušen žádný závazek mlčenlivosti;</w:t>
      </w:r>
    </w:p>
    <w:p w:rsidRPr="002408EF" w:rsidR="00FA4D69" w:rsidP="00FA4D69" w:rsidRDefault="00FA4D69" w14:paraId="34F1696D" w14:textId="77777777">
      <w:pPr>
        <w:pStyle w:val="BodyTextIndent31"/>
        <w:numPr>
          <w:ilvl w:val="1"/>
          <w:numId w:val="3"/>
        </w:num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vytvořené nezávisle </w:t>
      </w:r>
      <w:r w:rsidRPr="002408EF" w:rsidR="002D4899">
        <w:rPr>
          <w:rFonts w:cs="Arial"/>
          <w:sz w:val="20"/>
        </w:rPr>
        <w:t>Partner</w:t>
      </w:r>
      <w:r w:rsidRPr="002408EF">
        <w:rPr>
          <w:rFonts w:cs="Arial"/>
          <w:sz w:val="20"/>
        </w:rPr>
        <w:t>em bez použití Důvěrných informací chráněných podle</w:t>
      </w:r>
      <w:r w:rsidRPr="002408EF" w:rsidR="00BB23AF">
        <w:rPr>
          <w:rFonts w:cs="Arial"/>
          <w:sz w:val="20"/>
        </w:rPr>
        <w:t> </w:t>
      </w:r>
      <w:r w:rsidRPr="002408EF">
        <w:rPr>
          <w:rFonts w:cs="Arial"/>
          <w:sz w:val="20"/>
        </w:rPr>
        <w:t xml:space="preserve">této </w:t>
      </w:r>
      <w:r w:rsidRPr="002408EF" w:rsidR="00F607DE">
        <w:rPr>
          <w:rFonts w:cs="Arial"/>
          <w:sz w:val="20"/>
        </w:rPr>
        <w:t>D</w:t>
      </w:r>
      <w:r w:rsidRPr="002408EF">
        <w:rPr>
          <w:rFonts w:cs="Arial"/>
          <w:sz w:val="20"/>
        </w:rPr>
        <w:t>ohody.</w:t>
      </w:r>
    </w:p>
    <w:p w:rsidRPr="002408EF" w:rsidR="00FA4D69" w:rsidP="00FA4D69" w:rsidRDefault="00FA4D69" w14:paraId="2C6647A0" w14:textId="77777777">
      <w:pPr>
        <w:pStyle w:val="BodyTextIndent31"/>
        <w:rPr>
          <w:rFonts w:cs="Arial"/>
          <w:sz w:val="20"/>
        </w:rPr>
      </w:pPr>
    </w:p>
    <w:p w:rsidR="00FA4D69" w:rsidP="00DF49E8" w:rsidRDefault="00FA4D69" w14:paraId="6AD69479" w14:textId="77777777">
      <w:pPr>
        <w:pStyle w:val="BodyTextIndent31"/>
        <w:numPr>
          <w:ilvl w:val="0"/>
          <w:numId w:val="3"/>
        </w:numPr>
        <w:rPr>
          <w:rFonts w:cs="Arial"/>
          <w:sz w:val="20"/>
        </w:rPr>
      </w:pPr>
      <w:r w:rsidRPr="002408EF">
        <w:rPr>
          <w:rFonts w:cs="Arial"/>
          <w:sz w:val="20"/>
        </w:rPr>
        <w:t>Případy zpřístupnění (zveřejnění) informací, které splňují podmínky tohoto odstavce, se</w:t>
      </w:r>
      <w:r w:rsidR="002408EF">
        <w:rPr>
          <w:rFonts w:cs="Arial"/>
          <w:sz w:val="20"/>
        </w:rPr>
        <w:t> </w:t>
      </w:r>
      <w:r w:rsidRPr="002408EF">
        <w:rPr>
          <w:rFonts w:cs="Arial"/>
          <w:sz w:val="20"/>
        </w:rPr>
        <w:t xml:space="preserve">nepovažují za porušení povinnosti </w:t>
      </w:r>
      <w:r w:rsidRPr="002408EF" w:rsidR="002D4899">
        <w:rPr>
          <w:rFonts w:cs="Arial"/>
          <w:sz w:val="20"/>
        </w:rPr>
        <w:t>Partner</w:t>
      </w:r>
      <w:r w:rsidRPr="002408EF" w:rsidR="00FC526B">
        <w:rPr>
          <w:rFonts w:cs="Arial"/>
          <w:sz w:val="20"/>
        </w:rPr>
        <w:t>a</w:t>
      </w:r>
      <w:r w:rsidRPr="002408EF">
        <w:rPr>
          <w:rFonts w:cs="Arial"/>
          <w:sz w:val="20"/>
        </w:rPr>
        <w:t xml:space="preserve"> zachovávat mlčenlivost podle této </w:t>
      </w:r>
      <w:r w:rsidRPr="002408EF" w:rsidR="00F607DE">
        <w:rPr>
          <w:rFonts w:cs="Arial"/>
          <w:sz w:val="20"/>
        </w:rPr>
        <w:t>D</w:t>
      </w:r>
      <w:r w:rsidRPr="002408EF" w:rsidR="00F4532D">
        <w:rPr>
          <w:rFonts w:cs="Arial"/>
          <w:sz w:val="20"/>
        </w:rPr>
        <w:t>ohody.</w:t>
      </w:r>
      <w:r w:rsidRPr="002408EF" w:rsidR="00F4532D">
        <w:rPr>
          <w:rFonts w:cs="Arial"/>
          <w:sz w:val="20"/>
        </w:rPr>
        <w:br/>
      </w:r>
      <w:r w:rsidRPr="002408EF">
        <w:rPr>
          <w:rFonts w:cs="Arial"/>
          <w:sz w:val="20"/>
        </w:rPr>
        <w:t xml:space="preserve">I v takových případech se ale </w:t>
      </w:r>
      <w:r w:rsidRPr="002408EF" w:rsidR="002D4899">
        <w:rPr>
          <w:rFonts w:cs="Arial"/>
          <w:sz w:val="20"/>
        </w:rPr>
        <w:t>Partner</w:t>
      </w:r>
      <w:r w:rsidRPr="002408EF">
        <w:rPr>
          <w:rFonts w:cs="Arial"/>
          <w:sz w:val="20"/>
        </w:rPr>
        <w:t xml:space="preserve"> zavazuje chránit oprávněné zájmy </w:t>
      </w:r>
      <w:r w:rsidRPr="002408EF" w:rsidR="002D4899">
        <w:rPr>
          <w:rFonts w:cs="Arial"/>
          <w:sz w:val="20"/>
        </w:rPr>
        <w:t>MMR</w:t>
      </w:r>
      <w:r w:rsidRPr="002408EF">
        <w:rPr>
          <w:rFonts w:cs="Arial"/>
          <w:sz w:val="20"/>
        </w:rPr>
        <w:t>.</w:t>
      </w:r>
    </w:p>
    <w:p w:rsidR="00FF322F" w:rsidP="00FF322F" w:rsidRDefault="00FF322F" w14:paraId="450ACD82" w14:textId="77777777">
      <w:pPr>
        <w:pStyle w:val="BodyTextIndent31"/>
        <w:rPr>
          <w:rFonts w:cs="Arial"/>
          <w:sz w:val="20"/>
        </w:rPr>
      </w:pPr>
    </w:p>
    <w:p w:rsidRPr="002408EF" w:rsidR="00DF49E8" w:rsidP="00DF49E8" w:rsidRDefault="00DF49E8" w14:paraId="4A7ACF44" w14:textId="77777777">
      <w:pPr>
        <w:rPr>
          <w:rFonts w:cs="Arial"/>
          <w:b/>
          <w:sz w:val="20"/>
        </w:rPr>
      </w:pPr>
    </w:p>
    <w:p w:rsidRPr="002408EF" w:rsidR="00F90C9C" w:rsidP="00F90C9C" w:rsidRDefault="00F90C9C" w14:paraId="646E31C7" w14:textId="77777777">
      <w:pPr>
        <w:jc w:val="center"/>
        <w:rPr>
          <w:rFonts w:cs="Arial"/>
          <w:b/>
          <w:sz w:val="20"/>
        </w:rPr>
      </w:pPr>
      <w:r w:rsidRPr="002408EF">
        <w:rPr>
          <w:rFonts w:cs="Arial"/>
          <w:b/>
          <w:sz w:val="20"/>
        </w:rPr>
        <w:lastRenderedPageBreak/>
        <w:t>III.</w:t>
      </w:r>
    </w:p>
    <w:p w:rsidRPr="002408EF" w:rsidR="00FA4D69" w:rsidP="00F90C9C" w:rsidRDefault="00FA4D69" w14:paraId="72788378" w14:textId="77777777">
      <w:pPr>
        <w:jc w:val="center"/>
        <w:rPr>
          <w:rFonts w:cs="Arial"/>
          <w:b/>
          <w:sz w:val="20"/>
        </w:rPr>
      </w:pPr>
      <w:r w:rsidRPr="002408EF">
        <w:rPr>
          <w:rFonts w:cs="Arial"/>
          <w:b/>
          <w:sz w:val="20"/>
        </w:rPr>
        <w:t>Sankce</w:t>
      </w:r>
    </w:p>
    <w:p w:rsidRPr="002408EF" w:rsidR="00BB23AF" w:rsidP="00F90C9C" w:rsidRDefault="00BB23AF" w14:paraId="14588D2E" w14:textId="77777777">
      <w:pPr>
        <w:jc w:val="center"/>
        <w:rPr>
          <w:rFonts w:cs="Arial"/>
          <w:b/>
          <w:sz w:val="20"/>
        </w:rPr>
      </w:pPr>
    </w:p>
    <w:p w:rsidRPr="002408EF" w:rsidR="00DF49E8" w:rsidP="00F90C9C" w:rsidRDefault="00DF49E8" w14:paraId="242CD77C" w14:textId="77777777">
      <w:pPr>
        <w:jc w:val="center"/>
        <w:rPr>
          <w:rFonts w:cs="Arial"/>
          <w:b/>
          <w:sz w:val="20"/>
        </w:rPr>
      </w:pPr>
    </w:p>
    <w:p w:rsidRPr="002408EF" w:rsidR="00FA4D69" w:rsidP="00FA4D69" w:rsidRDefault="00FA4D69" w14:paraId="6753653E" w14:textId="77777777">
      <w:pPr>
        <w:numPr>
          <w:ilvl w:val="0"/>
          <w:numId w:val="4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V případě porušení povinností, sjednaných v této </w:t>
      </w:r>
      <w:r w:rsidRPr="002408EF" w:rsidR="00D67A82">
        <w:rPr>
          <w:rFonts w:cs="Arial"/>
          <w:sz w:val="20"/>
        </w:rPr>
        <w:t>D</w:t>
      </w:r>
      <w:r w:rsidRPr="002408EF">
        <w:rPr>
          <w:rFonts w:cs="Arial"/>
          <w:sz w:val="20"/>
        </w:rPr>
        <w:t xml:space="preserve">ohodě, ze strany </w:t>
      </w:r>
      <w:r w:rsidRPr="002408EF" w:rsidR="002D4899">
        <w:rPr>
          <w:rFonts w:cs="Arial"/>
          <w:sz w:val="20"/>
        </w:rPr>
        <w:t>Partner</w:t>
      </w:r>
      <w:r w:rsidRPr="002408EF" w:rsidR="00D67A82">
        <w:rPr>
          <w:rFonts w:cs="Arial"/>
          <w:sz w:val="20"/>
        </w:rPr>
        <w:t>a</w:t>
      </w:r>
      <w:r w:rsidRPr="002408EF">
        <w:rPr>
          <w:rFonts w:cs="Arial"/>
          <w:sz w:val="20"/>
        </w:rPr>
        <w:t xml:space="preserve"> má </w:t>
      </w:r>
      <w:r w:rsidRPr="002408EF" w:rsidR="002D4899">
        <w:rPr>
          <w:rFonts w:cs="Arial"/>
          <w:sz w:val="20"/>
        </w:rPr>
        <w:t>MMR</w:t>
      </w:r>
      <w:r w:rsidRPr="002408EF">
        <w:rPr>
          <w:rFonts w:cs="Arial"/>
          <w:sz w:val="20"/>
        </w:rPr>
        <w:t xml:space="preserve"> právo na</w:t>
      </w:r>
      <w:r w:rsidR="002408EF">
        <w:rPr>
          <w:rFonts w:cs="Arial"/>
          <w:sz w:val="20"/>
        </w:rPr>
        <w:t> </w:t>
      </w:r>
      <w:r w:rsidRPr="002408EF">
        <w:rPr>
          <w:rFonts w:cs="Arial"/>
          <w:sz w:val="20"/>
        </w:rPr>
        <w:t xml:space="preserve">smluvní pokutu ve výši </w:t>
      </w:r>
      <w:r w:rsidRPr="002408EF" w:rsidR="00BB23AF">
        <w:rPr>
          <w:rFonts w:cs="Arial"/>
          <w:sz w:val="20"/>
        </w:rPr>
        <w:t>30.000</w:t>
      </w:r>
      <w:r w:rsidRPr="002408EF">
        <w:rPr>
          <w:rFonts w:cs="Arial"/>
          <w:sz w:val="20"/>
        </w:rPr>
        <w:t xml:space="preserve">,- Kč (slovy: </w:t>
      </w:r>
      <w:proofErr w:type="spellStart"/>
      <w:r w:rsidRPr="002408EF" w:rsidR="00BB23AF">
        <w:rPr>
          <w:rFonts w:cs="Arial"/>
          <w:sz w:val="20"/>
        </w:rPr>
        <w:t>třicettisíck</w:t>
      </w:r>
      <w:r w:rsidRPr="002408EF">
        <w:rPr>
          <w:rFonts w:cs="Arial"/>
          <w:sz w:val="20"/>
        </w:rPr>
        <w:t>orunčeských</w:t>
      </w:r>
      <w:proofErr w:type="spellEnd"/>
      <w:r w:rsidRPr="002408EF">
        <w:rPr>
          <w:rFonts w:cs="Arial"/>
          <w:sz w:val="20"/>
        </w:rPr>
        <w:t xml:space="preserve">). Právo </w:t>
      </w:r>
      <w:r w:rsidRPr="002408EF" w:rsidR="002D4899">
        <w:rPr>
          <w:rFonts w:cs="Arial"/>
          <w:sz w:val="20"/>
        </w:rPr>
        <w:t>MMR</w:t>
      </w:r>
      <w:r w:rsidRPr="002408EF">
        <w:rPr>
          <w:rFonts w:cs="Arial"/>
          <w:sz w:val="20"/>
        </w:rPr>
        <w:t xml:space="preserve"> na smluvní pokutu vzniká za každé jednotlivé prokázané porušení povinnosti zachovat mlčenlivost podle této </w:t>
      </w:r>
      <w:r w:rsidRPr="002408EF" w:rsidR="00D67A82">
        <w:rPr>
          <w:rFonts w:cs="Arial"/>
          <w:sz w:val="20"/>
        </w:rPr>
        <w:t>D</w:t>
      </w:r>
      <w:r w:rsidRPr="002408EF">
        <w:rPr>
          <w:rFonts w:cs="Arial"/>
          <w:sz w:val="20"/>
        </w:rPr>
        <w:t xml:space="preserve">ohody ze strany </w:t>
      </w:r>
      <w:r w:rsidRPr="002408EF" w:rsidR="002D4899">
        <w:rPr>
          <w:rFonts w:cs="Arial"/>
          <w:sz w:val="20"/>
        </w:rPr>
        <w:t>Partner</w:t>
      </w:r>
      <w:r w:rsidRPr="002408EF" w:rsidR="00D67A82">
        <w:rPr>
          <w:rFonts w:cs="Arial"/>
          <w:sz w:val="20"/>
        </w:rPr>
        <w:t>a</w:t>
      </w:r>
      <w:r w:rsidRPr="002408EF">
        <w:rPr>
          <w:rFonts w:cs="Arial"/>
          <w:sz w:val="20"/>
        </w:rPr>
        <w:t>.</w:t>
      </w:r>
    </w:p>
    <w:p w:rsidRPr="002408EF" w:rsidR="00FA4D69" w:rsidP="00FA4D69" w:rsidRDefault="00FA4D69" w14:paraId="055FFA62" w14:textId="77777777">
      <w:pPr>
        <w:pStyle w:val="Odstavecseseznamem"/>
        <w:rPr>
          <w:rFonts w:cs="Arial"/>
          <w:sz w:val="20"/>
        </w:rPr>
      </w:pPr>
    </w:p>
    <w:p w:rsidRPr="002408EF" w:rsidR="00FA4D69" w:rsidP="00FA4D69" w:rsidRDefault="00FA4D69" w14:paraId="4E152292" w14:textId="77777777">
      <w:pPr>
        <w:numPr>
          <w:ilvl w:val="0"/>
          <w:numId w:val="4"/>
        </w:numPr>
        <w:ind w:left="284" w:hanging="284"/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Splatnost smluvní pokuty je deset pracovních dnů od doručení písemné výzvy </w:t>
      </w:r>
      <w:r w:rsidRPr="002408EF" w:rsidR="002D4899">
        <w:rPr>
          <w:rFonts w:cs="Arial"/>
          <w:sz w:val="20"/>
        </w:rPr>
        <w:t>MMR</w:t>
      </w:r>
      <w:r w:rsidRPr="002408EF">
        <w:rPr>
          <w:rFonts w:cs="Arial"/>
          <w:sz w:val="20"/>
        </w:rPr>
        <w:t xml:space="preserve"> k úhradě smluvní pokuty na číslo účtu</w:t>
      </w:r>
      <w:r w:rsidRPr="002408EF" w:rsidR="007E1FA4">
        <w:rPr>
          <w:rFonts w:cs="Arial"/>
          <w:sz w:val="20"/>
        </w:rPr>
        <w:t xml:space="preserve"> uvedené v záhlaví Dohody</w:t>
      </w:r>
      <w:r w:rsidRPr="002408EF">
        <w:rPr>
          <w:rFonts w:cs="Arial"/>
          <w:sz w:val="20"/>
        </w:rPr>
        <w:t>.</w:t>
      </w:r>
    </w:p>
    <w:p w:rsidRPr="002408EF" w:rsidR="00FA4D69" w:rsidP="00FA4D69" w:rsidRDefault="00FA4D69" w14:paraId="1BDC11E2" w14:textId="77777777">
      <w:pPr>
        <w:pStyle w:val="Odstavecseseznamem"/>
        <w:rPr>
          <w:rFonts w:cs="Arial"/>
          <w:sz w:val="20"/>
        </w:rPr>
      </w:pPr>
    </w:p>
    <w:p w:rsidRPr="002408EF" w:rsidR="00FA4D69" w:rsidP="00FA4D69" w:rsidRDefault="00FA4D69" w14:paraId="64A6D295" w14:textId="77777777">
      <w:pPr>
        <w:numPr>
          <w:ilvl w:val="0"/>
          <w:numId w:val="4"/>
        </w:numPr>
        <w:ind w:left="284" w:hanging="284"/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Zaplacením smluvní pokuty nezaniká povinnost </w:t>
      </w:r>
      <w:r w:rsidRPr="002408EF" w:rsidR="002D4899">
        <w:rPr>
          <w:rFonts w:cs="Arial"/>
          <w:sz w:val="20"/>
        </w:rPr>
        <w:t>Partner</w:t>
      </w:r>
      <w:r w:rsidRPr="002408EF" w:rsidR="007E1FA4">
        <w:rPr>
          <w:rFonts w:cs="Arial"/>
          <w:sz w:val="20"/>
        </w:rPr>
        <w:t>a</w:t>
      </w:r>
      <w:r w:rsidRPr="002408EF">
        <w:rPr>
          <w:rFonts w:cs="Arial"/>
          <w:sz w:val="20"/>
        </w:rPr>
        <w:t xml:space="preserve"> k náhradě škody (včetně přiměřeného zadostiučinění pro případ poškození dobrého jména </w:t>
      </w:r>
      <w:r w:rsidRPr="002408EF" w:rsidR="002D4899">
        <w:rPr>
          <w:rFonts w:cs="Arial"/>
          <w:sz w:val="20"/>
        </w:rPr>
        <w:t>MMR</w:t>
      </w:r>
      <w:r w:rsidRPr="002408EF">
        <w:rPr>
          <w:rFonts w:cs="Arial"/>
          <w:sz w:val="20"/>
        </w:rPr>
        <w:t xml:space="preserve">) ve výši přesahující smluvní pokutu. </w:t>
      </w:r>
    </w:p>
    <w:p w:rsidRPr="002408EF" w:rsidR="00BB23AF" w:rsidP="00BB23AF" w:rsidRDefault="00BB23AF" w14:paraId="6EE982E8" w14:textId="77777777">
      <w:pPr>
        <w:pStyle w:val="Odstavecseseznamem"/>
        <w:rPr>
          <w:rFonts w:cs="Arial"/>
          <w:sz w:val="20"/>
        </w:rPr>
      </w:pPr>
    </w:p>
    <w:p w:rsidRPr="002408EF" w:rsidR="00FA4D69" w:rsidP="008B2E98" w:rsidRDefault="00FA4D69" w14:paraId="06E63AA2" w14:textId="77777777">
      <w:pPr>
        <w:numPr>
          <w:ilvl w:val="12"/>
          <w:numId w:val="0"/>
        </w:numPr>
        <w:jc w:val="both"/>
        <w:rPr>
          <w:rFonts w:cs="Arial"/>
          <w:sz w:val="20"/>
        </w:rPr>
      </w:pPr>
    </w:p>
    <w:p w:rsidRPr="002408EF" w:rsidR="007E1FA4" w:rsidP="007E1FA4" w:rsidRDefault="007E1FA4" w14:paraId="4964110C" w14:textId="77777777">
      <w:pPr>
        <w:jc w:val="center"/>
        <w:rPr>
          <w:rFonts w:cs="Arial"/>
          <w:b/>
          <w:sz w:val="20"/>
        </w:rPr>
      </w:pPr>
      <w:r w:rsidRPr="002408EF">
        <w:rPr>
          <w:rFonts w:cs="Arial"/>
          <w:b/>
          <w:sz w:val="20"/>
        </w:rPr>
        <w:t>IV.</w:t>
      </w:r>
    </w:p>
    <w:p w:rsidRPr="002408EF" w:rsidR="00FA4D69" w:rsidP="007E1FA4" w:rsidRDefault="00FA4D69" w14:paraId="1EEEDC0B" w14:textId="77777777">
      <w:pPr>
        <w:jc w:val="center"/>
        <w:rPr>
          <w:rFonts w:cs="Arial"/>
          <w:b/>
          <w:sz w:val="20"/>
        </w:rPr>
      </w:pPr>
      <w:r w:rsidRPr="002408EF">
        <w:rPr>
          <w:rFonts w:cs="Arial"/>
          <w:b/>
          <w:sz w:val="20"/>
        </w:rPr>
        <w:t>Další ujednání</w:t>
      </w:r>
    </w:p>
    <w:p w:rsidRPr="002408EF" w:rsidR="00BB23AF" w:rsidP="007E1FA4" w:rsidRDefault="00BB23AF" w14:paraId="4C7C4DF0" w14:textId="77777777">
      <w:pPr>
        <w:jc w:val="center"/>
        <w:rPr>
          <w:rFonts w:cs="Arial"/>
          <w:b/>
          <w:sz w:val="20"/>
        </w:rPr>
      </w:pPr>
    </w:p>
    <w:p w:rsidRPr="002408EF" w:rsidR="00FA4D69" w:rsidP="00FA4D69" w:rsidRDefault="00FA4D69" w14:paraId="57C6D604" w14:textId="77777777">
      <w:pPr>
        <w:pStyle w:val="BodyTextIndent31"/>
        <w:ind w:left="283" w:firstLine="0"/>
        <w:rPr>
          <w:rFonts w:cs="Arial"/>
          <w:sz w:val="20"/>
        </w:rPr>
      </w:pPr>
    </w:p>
    <w:p w:rsidRPr="002408EF" w:rsidR="00FA4D69" w:rsidP="00FA4D69" w:rsidRDefault="00FA4D69" w14:paraId="020D2B87" w14:textId="77777777">
      <w:pPr>
        <w:pStyle w:val="BodyTextIndent31"/>
        <w:numPr>
          <w:ilvl w:val="0"/>
          <w:numId w:val="5"/>
        </w:num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Všechny Důvěrné informace zůstávají výhradním vlastnictvím </w:t>
      </w:r>
      <w:r w:rsidRPr="002408EF" w:rsidR="002D4899">
        <w:rPr>
          <w:rFonts w:cs="Arial"/>
          <w:sz w:val="20"/>
        </w:rPr>
        <w:t>MMR</w:t>
      </w:r>
      <w:r w:rsidRPr="002408EF" w:rsidR="007E1FA4">
        <w:rPr>
          <w:rFonts w:cs="Arial"/>
          <w:sz w:val="20"/>
        </w:rPr>
        <w:t>, a to</w:t>
      </w:r>
      <w:r w:rsidRPr="002408EF">
        <w:rPr>
          <w:rFonts w:cs="Arial"/>
          <w:sz w:val="20"/>
        </w:rPr>
        <w:t xml:space="preserve"> po celou dobu trvání vzájemné spolupráce </w:t>
      </w:r>
      <w:r w:rsidRPr="002408EF" w:rsidR="007E1FA4">
        <w:rPr>
          <w:rFonts w:cs="Arial"/>
          <w:sz w:val="20"/>
        </w:rPr>
        <w:t xml:space="preserve">a </w:t>
      </w:r>
      <w:r w:rsidRPr="002408EF">
        <w:rPr>
          <w:rFonts w:cs="Arial"/>
          <w:sz w:val="20"/>
        </w:rPr>
        <w:t>i po jejím skončení.</w:t>
      </w:r>
    </w:p>
    <w:p w:rsidRPr="002408EF" w:rsidR="00FA4D69" w:rsidP="00FA4D69" w:rsidRDefault="00FA4D69" w14:paraId="4E4B85E0" w14:textId="77777777">
      <w:pPr>
        <w:pStyle w:val="BodyTextIndent31"/>
        <w:ind w:left="283" w:firstLine="0"/>
        <w:rPr>
          <w:rFonts w:cs="Arial"/>
          <w:sz w:val="20"/>
        </w:rPr>
      </w:pPr>
    </w:p>
    <w:p w:rsidRPr="002408EF" w:rsidR="00FA4D69" w:rsidP="00FA4D69" w:rsidRDefault="00FA4D69" w14:paraId="425BC62F" w14:textId="77777777">
      <w:pPr>
        <w:pStyle w:val="BodyTextIndent31"/>
        <w:numPr>
          <w:ilvl w:val="0"/>
          <w:numId w:val="5"/>
        </w:num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Tato Dohoda nezakládá jakýkoliv další </w:t>
      </w:r>
      <w:r w:rsidRPr="002408EF" w:rsidR="007E1FA4">
        <w:rPr>
          <w:rFonts w:cs="Arial"/>
          <w:sz w:val="20"/>
        </w:rPr>
        <w:t>smluvní</w:t>
      </w:r>
      <w:r w:rsidRPr="002408EF">
        <w:rPr>
          <w:rFonts w:cs="Arial"/>
          <w:sz w:val="20"/>
        </w:rPr>
        <w:t xml:space="preserve"> vztah či oprávnění </w:t>
      </w:r>
      <w:r w:rsidRPr="002408EF" w:rsidR="002D4899">
        <w:rPr>
          <w:rFonts w:cs="Arial"/>
          <w:sz w:val="20"/>
        </w:rPr>
        <w:t>Partner</w:t>
      </w:r>
      <w:r w:rsidRPr="002408EF" w:rsidR="007E1FA4">
        <w:rPr>
          <w:rFonts w:cs="Arial"/>
          <w:sz w:val="20"/>
        </w:rPr>
        <w:t>a</w:t>
      </w:r>
      <w:r w:rsidRPr="002408EF">
        <w:rPr>
          <w:rFonts w:cs="Arial"/>
          <w:sz w:val="20"/>
        </w:rPr>
        <w:t xml:space="preserve"> k využití Důvěrných informací k jiným účelům, než ke kterým byly </w:t>
      </w:r>
      <w:r w:rsidRPr="002408EF" w:rsidR="002D4899">
        <w:rPr>
          <w:rFonts w:cs="Arial"/>
          <w:sz w:val="20"/>
        </w:rPr>
        <w:t>Partner</w:t>
      </w:r>
      <w:r w:rsidRPr="002408EF" w:rsidR="007E1FA4">
        <w:rPr>
          <w:rFonts w:cs="Arial"/>
          <w:sz w:val="20"/>
        </w:rPr>
        <w:t xml:space="preserve">ovi </w:t>
      </w:r>
      <w:r w:rsidRPr="002408EF">
        <w:rPr>
          <w:rFonts w:cs="Arial"/>
          <w:sz w:val="20"/>
        </w:rPr>
        <w:t>poskytnuty.</w:t>
      </w:r>
    </w:p>
    <w:p w:rsidRPr="002408EF" w:rsidR="00FA4D69" w:rsidP="00FA4D69" w:rsidRDefault="00FA4D69" w14:paraId="55CEC174" w14:textId="77777777">
      <w:pPr>
        <w:pStyle w:val="BodyTextIndent31"/>
        <w:ind w:left="283" w:firstLine="0"/>
        <w:rPr>
          <w:rFonts w:cs="Arial"/>
          <w:sz w:val="20"/>
        </w:rPr>
      </w:pPr>
    </w:p>
    <w:p w:rsidRPr="002408EF" w:rsidR="00FA4D69" w:rsidP="00FA4D69" w:rsidRDefault="00FA4D69" w14:paraId="77E06ACF" w14:textId="77777777">
      <w:pPr>
        <w:pStyle w:val="BodyTextIndent31"/>
        <w:numPr>
          <w:ilvl w:val="0"/>
          <w:numId w:val="5"/>
        </w:numPr>
        <w:rPr>
          <w:rFonts w:cs="Arial"/>
          <w:sz w:val="20"/>
        </w:rPr>
      </w:pPr>
      <w:r w:rsidRPr="002408EF">
        <w:rPr>
          <w:rFonts w:cs="Arial"/>
          <w:sz w:val="20"/>
        </w:rPr>
        <w:t xml:space="preserve">Ustanovení této </w:t>
      </w:r>
      <w:r w:rsidRPr="002408EF" w:rsidR="007E1FA4">
        <w:rPr>
          <w:rFonts w:cs="Arial"/>
          <w:sz w:val="20"/>
        </w:rPr>
        <w:t>D</w:t>
      </w:r>
      <w:r w:rsidRPr="002408EF">
        <w:rPr>
          <w:rFonts w:cs="Arial"/>
          <w:sz w:val="20"/>
        </w:rPr>
        <w:t>ohody jsou závazná i pro právní nástupce smluvních stran.</w:t>
      </w:r>
    </w:p>
    <w:p w:rsidRPr="002408EF" w:rsidR="00FA4D69" w:rsidP="00FA4D69" w:rsidRDefault="00FA4D69" w14:paraId="776E8813" w14:textId="77777777">
      <w:pPr>
        <w:ind w:left="283"/>
        <w:jc w:val="both"/>
        <w:rPr>
          <w:rFonts w:cs="Arial"/>
          <w:sz w:val="20"/>
        </w:rPr>
      </w:pPr>
    </w:p>
    <w:p w:rsidRPr="002408EF" w:rsidR="00FA4D69" w:rsidP="00FA4D69" w:rsidRDefault="00FA4D69" w14:paraId="66672AED" w14:textId="77777777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Tato </w:t>
      </w:r>
      <w:r w:rsidRPr="002408EF" w:rsidR="00054331">
        <w:rPr>
          <w:rFonts w:cs="Arial"/>
          <w:sz w:val="20"/>
        </w:rPr>
        <w:t>D</w:t>
      </w:r>
      <w:r w:rsidRPr="002408EF">
        <w:rPr>
          <w:rFonts w:cs="Arial"/>
          <w:sz w:val="20"/>
        </w:rPr>
        <w:t xml:space="preserve">ohoda může být měněna nebo zrušena jen </w:t>
      </w:r>
      <w:r w:rsidRPr="002408EF" w:rsidR="0091203F">
        <w:rPr>
          <w:rFonts w:cs="Arial"/>
          <w:sz w:val="20"/>
        </w:rPr>
        <w:t>písemnou dohodou smluvních</w:t>
      </w:r>
      <w:r w:rsidRPr="002408EF">
        <w:rPr>
          <w:rFonts w:cs="Arial"/>
          <w:sz w:val="20"/>
        </w:rPr>
        <w:t xml:space="preserve"> </w:t>
      </w:r>
      <w:r w:rsidRPr="002408EF" w:rsidR="0091203F">
        <w:rPr>
          <w:rFonts w:cs="Arial"/>
          <w:sz w:val="20"/>
        </w:rPr>
        <w:t>stran.</w:t>
      </w:r>
    </w:p>
    <w:p w:rsidRPr="002408EF" w:rsidR="00FA4D69" w:rsidP="00FA4D69" w:rsidRDefault="00FA4D69" w14:paraId="1EE6A0D7" w14:textId="77777777">
      <w:pPr>
        <w:numPr>
          <w:ilvl w:val="12"/>
          <w:numId w:val="0"/>
        </w:numPr>
        <w:ind w:left="283" w:hanging="283"/>
        <w:jc w:val="both"/>
        <w:rPr>
          <w:rFonts w:cs="Arial"/>
          <w:sz w:val="20"/>
        </w:rPr>
      </w:pPr>
    </w:p>
    <w:p w:rsidRPr="002408EF" w:rsidR="00F607DE" w:rsidP="00F607DE" w:rsidRDefault="00FA4D69" w14:paraId="10B50A50" w14:textId="77777777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Práva a povinnosti stanovené touto </w:t>
      </w:r>
      <w:r w:rsidRPr="002408EF" w:rsidR="0091203F">
        <w:rPr>
          <w:rFonts w:cs="Arial"/>
          <w:sz w:val="20"/>
        </w:rPr>
        <w:t>D</w:t>
      </w:r>
      <w:r w:rsidRPr="002408EF">
        <w:rPr>
          <w:rFonts w:cs="Arial"/>
          <w:sz w:val="20"/>
        </w:rPr>
        <w:t>ohodou zůstanou platná a vymahatelná ještě po dobu 10 let následujících po ukončení platnosti této smlouvy.</w:t>
      </w:r>
    </w:p>
    <w:p w:rsidRPr="002408EF" w:rsidR="00F607DE" w:rsidP="00F607DE" w:rsidRDefault="00F607DE" w14:paraId="0C594701" w14:textId="77777777">
      <w:pPr>
        <w:pStyle w:val="Odstavecseseznamem"/>
        <w:rPr>
          <w:rFonts w:cs="Arial"/>
          <w:sz w:val="20"/>
        </w:rPr>
      </w:pPr>
    </w:p>
    <w:p w:rsidRPr="002408EF" w:rsidR="00F607DE" w:rsidP="00F607DE" w:rsidRDefault="00F607DE" w14:paraId="58059DB8" w14:textId="77777777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>V případě, že některé ustanovení této smlouvy bude v budoucnosti posouzeno z důvodu nesrozumitelnosti nebo neurčitosti jako zdánlivé (nicotné), a nepodaří-li se tuto nesrozumitelnost či</w:t>
      </w:r>
      <w:r w:rsidR="002408EF">
        <w:rPr>
          <w:rFonts w:cs="Arial"/>
          <w:sz w:val="20"/>
        </w:rPr>
        <w:t> </w:t>
      </w:r>
      <w:r w:rsidRPr="002408EF">
        <w:rPr>
          <w:rFonts w:cs="Arial"/>
          <w:sz w:val="20"/>
        </w:rPr>
        <w:t>neurčitost ujednání dodatečně mezi stranami vyjasnit, pak se posoudí vliv takové vady na smlouvu analogicky podle ustanovení § 576 občanského zákoníku.</w:t>
      </w:r>
    </w:p>
    <w:p w:rsidRPr="002408EF" w:rsidR="00F607DE" w:rsidP="00F607DE" w:rsidRDefault="00F607DE" w14:paraId="6A808A10" w14:textId="77777777">
      <w:pPr>
        <w:pStyle w:val="Odstavecseseznamem"/>
        <w:rPr>
          <w:rFonts w:cs="Arial"/>
          <w:sz w:val="20"/>
        </w:rPr>
      </w:pPr>
    </w:p>
    <w:p w:rsidRPr="002408EF" w:rsidR="00F607DE" w:rsidP="00F607DE" w:rsidRDefault="00F607DE" w14:paraId="603D6911" w14:textId="77777777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>Smluvní strany se dohodly, že vylučují aplikaci ustanovení § 557 občanského zákoníku.</w:t>
      </w:r>
    </w:p>
    <w:p w:rsidRPr="002408EF" w:rsidR="00F607DE" w:rsidP="00F607DE" w:rsidRDefault="00F607DE" w14:paraId="2EF4A88A" w14:textId="77777777">
      <w:pPr>
        <w:pStyle w:val="Odstavecseseznamem"/>
        <w:rPr>
          <w:rFonts w:cs="Arial"/>
          <w:sz w:val="20"/>
        </w:rPr>
      </w:pPr>
    </w:p>
    <w:p w:rsidRPr="002408EF" w:rsidR="00F607DE" w:rsidP="00F607DE" w:rsidRDefault="00FA4D69" w14:paraId="7AF2772B" w14:textId="77777777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Dohoda nabývá platnosti a účinnosti dnem jejího podpisu oběma </w:t>
      </w:r>
      <w:r w:rsidRPr="002408EF" w:rsidR="0091203F">
        <w:rPr>
          <w:rFonts w:cs="Arial"/>
          <w:sz w:val="20"/>
        </w:rPr>
        <w:t>smluvními stranami</w:t>
      </w:r>
      <w:r w:rsidRPr="002408EF">
        <w:rPr>
          <w:rFonts w:cs="Arial"/>
          <w:sz w:val="20"/>
        </w:rPr>
        <w:t xml:space="preserve">. </w:t>
      </w:r>
      <w:r w:rsidRPr="002408EF" w:rsidR="00F607DE">
        <w:rPr>
          <w:rFonts w:cs="Arial"/>
          <w:sz w:val="20"/>
        </w:rPr>
        <w:t>Právní vztahy touto smlouvou výslovně neupravené se řídí příslušnými ustanoveními občansk</w:t>
      </w:r>
      <w:r w:rsidRPr="002408EF" w:rsidR="00F4532D">
        <w:rPr>
          <w:rFonts w:cs="Arial"/>
          <w:sz w:val="20"/>
        </w:rPr>
        <w:t>ého</w:t>
      </w:r>
      <w:r w:rsidRPr="002408EF" w:rsidR="00F607DE">
        <w:rPr>
          <w:rFonts w:cs="Arial"/>
          <w:sz w:val="20"/>
        </w:rPr>
        <w:t xml:space="preserve"> </w:t>
      </w:r>
      <w:r w:rsidRPr="002408EF" w:rsidR="00F4532D">
        <w:rPr>
          <w:rFonts w:cs="Arial"/>
          <w:sz w:val="20"/>
        </w:rPr>
        <w:t>zákoníku</w:t>
      </w:r>
      <w:r w:rsidRPr="002408EF" w:rsidR="00F607DE">
        <w:rPr>
          <w:rFonts w:cs="Arial"/>
          <w:sz w:val="20"/>
        </w:rPr>
        <w:t>.</w:t>
      </w:r>
    </w:p>
    <w:p w:rsidRPr="002408EF" w:rsidR="00FA4D69" w:rsidP="00F607DE" w:rsidRDefault="00FA4D69" w14:paraId="42D29FF0" w14:textId="77777777">
      <w:pPr>
        <w:ind w:left="283"/>
        <w:jc w:val="both"/>
        <w:rPr>
          <w:rFonts w:cs="Arial"/>
          <w:sz w:val="20"/>
        </w:rPr>
      </w:pPr>
    </w:p>
    <w:p w:rsidRPr="002408EF" w:rsidR="0091203F" w:rsidP="00FA4D69" w:rsidRDefault="00FA4D69" w14:paraId="254E82A5" w14:textId="2F2B1DC9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Dohoda </w:t>
      </w:r>
      <w:r w:rsidRPr="00B1667B" w:rsidR="00B1667B">
        <w:rPr>
          <w:rFonts w:cs="Arial"/>
          <w:sz w:val="20"/>
        </w:rPr>
        <w:t>je vyhotovena v 1 elektronickém vyhotovení.</w:t>
      </w:r>
    </w:p>
    <w:p w:rsidRPr="002408EF" w:rsidR="0091203F" w:rsidP="0091203F" w:rsidRDefault="0091203F" w14:paraId="4FF6C038" w14:textId="77777777">
      <w:pPr>
        <w:pStyle w:val="Odstavecseseznamem"/>
        <w:rPr>
          <w:rFonts w:cs="Arial"/>
          <w:sz w:val="20"/>
        </w:rPr>
      </w:pPr>
    </w:p>
    <w:p w:rsidRPr="002408EF" w:rsidR="00FA4D69" w:rsidP="00FA4D69" w:rsidRDefault="0091203F" w14:paraId="4838FABC" w14:textId="77777777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>Smluvní strany</w:t>
      </w:r>
      <w:r w:rsidRPr="002408EF" w:rsidR="00FA4D69">
        <w:rPr>
          <w:rFonts w:cs="Arial"/>
          <w:sz w:val="20"/>
        </w:rPr>
        <w:t xml:space="preserve"> prohlašují, že si </w:t>
      </w:r>
      <w:r w:rsidRPr="002408EF">
        <w:rPr>
          <w:rFonts w:cs="Arial"/>
          <w:sz w:val="20"/>
        </w:rPr>
        <w:t>D</w:t>
      </w:r>
      <w:r w:rsidRPr="002408EF" w:rsidR="00FA4D69">
        <w:rPr>
          <w:rFonts w:cs="Arial"/>
          <w:sz w:val="20"/>
        </w:rPr>
        <w:t>ohodu přečetl</w:t>
      </w:r>
      <w:r w:rsidRPr="002408EF" w:rsidR="00300541">
        <w:rPr>
          <w:rFonts w:cs="Arial"/>
          <w:sz w:val="20"/>
        </w:rPr>
        <w:t>y</w:t>
      </w:r>
      <w:r w:rsidRPr="002408EF" w:rsidR="00FA4D69">
        <w:rPr>
          <w:rFonts w:cs="Arial"/>
          <w:sz w:val="20"/>
        </w:rPr>
        <w:t>, souhlasí s jejím obsahem, na důkaz čehož připojují své podpisy.</w:t>
      </w:r>
    </w:p>
    <w:p w:rsidRPr="002408EF" w:rsidR="00FA4D69" w:rsidP="00FA4D69" w:rsidRDefault="00FA4D69" w14:paraId="4CF7E8B2" w14:textId="77777777">
      <w:pPr>
        <w:jc w:val="both"/>
        <w:rPr>
          <w:rFonts w:cs="Arial"/>
          <w:sz w:val="20"/>
        </w:rPr>
      </w:pPr>
      <w:r w:rsidRPr="002408EF">
        <w:rPr>
          <w:rFonts w:cs="Arial"/>
          <w:sz w:val="20"/>
        </w:rPr>
        <w:t xml:space="preserve"> </w:t>
      </w:r>
    </w:p>
    <w:p w:rsidR="00BB23AF" w:rsidP="00FA4D69" w:rsidRDefault="00BB23AF" w14:paraId="62E58130" w14:textId="77777777">
      <w:pPr>
        <w:jc w:val="both"/>
        <w:rPr>
          <w:rFonts w:cs="Arial"/>
          <w:sz w:val="20"/>
        </w:rPr>
      </w:pPr>
    </w:p>
    <w:p w:rsidRPr="002408EF" w:rsidR="00FF322F" w:rsidP="00FA4D69" w:rsidRDefault="00FF322F" w14:paraId="199A0919" w14:textId="77777777">
      <w:pPr>
        <w:jc w:val="both"/>
        <w:rPr>
          <w:rFonts w:cs="Arial"/>
          <w:sz w:val="20"/>
        </w:rPr>
      </w:pPr>
      <w:bookmarkStart w:name="_GoBack" w:id="0"/>
      <w:bookmarkEnd w:id="0"/>
    </w:p>
    <w:p w:rsidRPr="00384F1A" w:rsidR="00155245" w:rsidP="00155245" w:rsidRDefault="00155245" w14:paraId="455BC4D2" w14:textId="77777777">
      <w:pPr>
        <w:rPr>
          <w:rFonts w:cs="Arial"/>
          <w:sz w:val="20"/>
        </w:rPr>
      </w:pPr>
      <w:r w:rsidRPr="00384F1A">
        <w:rPr>
          <w:rFonts w:cs="Arial"/>
          <w:sz w:val="20"/>
        </w:rPr>
        <w:t>V Praze dne</w:t>
      </w:r>
      <w:r w:rsidRPr="00384F1A">
        <w:rPr>
          <w:rFonts w:cs="Arial"/>
          <w:sz w:val="20"/>
        </w:rPr>
        <w:tab/>
      </w:r>
      <w:r w:rsidRPr="00384F1A">
        <w:rPr>
          <w:rFonts w:cs="Arial"/>
          <w:sz w:val="20"/>
        </w:rPr>
        <w:tab/>
      </w:r>
      <w:r w:rsidRPr="00384F1A">
        <w:rPr>
          <w:rFonts w:cs="Arial"/>
          <w:sz w:val="20"/>
        </w:rPr>
        <w:tab/>
        <w:t xml:space="preserve">    </w:t>
      </w:r>
      <w:r w:rsidRPr="00384F1A">
        <w:rPr>
          <w:rFonts w:cs="Arial"/>
          <w:sz w:val="20"/>
        </w:rPr>
        <w:tab/>
      </w:r>
      <w:r w:rsidRPr="00384F1A">
        <w:rPr>
          <w:rFonts w:cs="Arial"/>
          <w:sz w:val="20"/>
        </w:rPr>
        <w:tab/>
      </w:r>
      <w:r w:rsidRPr="00384F1A">
        <w:rPr>
          <w:rFonts w:cs="Arial"/>
          <w:sz w:val="20"/>
        </w:rPr>
        <w:tab/>
        <w:t xml:space="preserve">    V Praze dne</w:t>
      </w:r>
    </w:p>
    <w:p w:rsidR="00155245" w:rsidP="00155245" w:rsidRDefault="00155245" w14:paraId="6C9A83BA" w14:textId="77777777">
      <w:pPr>
        <w:rPr>
          <w:rFonts w:cs="Arial"/>
          <w:sz w:val="20"/>
        </w:rPr>
      </w:pPr>
    </w:p>
    <w:p w:rsidR="00155245" w:rsidP="00155245" w:rsidRDefault="00155245" w14:paraId="7EBC75CC" w14:textId="77777777">
      <w:pPr>
        <w:rPr>
          <w:rFonts w:cs="Arial"/>
          <w:sz w:val="20"/>
        </w:rPr>
      </w:pPr>
    </w:p>
    <w:p w:rsidRPr="00384F1A" w:rsidR="00155245" w:rsidP="00155245" w:rsidRDefault="00155245" w14:paraId="1EFFFD6F" w14:textId="77777777">
      <w:pPr>
        <w:rPr>
          <w:rFonts w:cs="Arial"/>
          <w:sz w:val="20"/>
        </w:rPr>
      </w:pPr>
    </w:p>
    <w:p w:rsidRPr="00384F1A" w:rsidR="00155245" w:rsidP="00155245" w:rsidRDefault="00155245" w14:paraId="6B87DE7B" w14:textId="77777777">
      <w:pPr>
        <w:rPr>
          <w:rFonts w:cs="Arial"/>
          <w:sz w:val="20"/>
        </w:rPr>
      </w:pPr>
    </w:p>
    <w:tbl>
      <w:tblPr>
        <w:tblW w:w="9640" w:type="dxa"/>
        <w:tblLayout w:type="fixed"/>
        <w:tblLook w:firstRow="1" w:lastRow="0" w:firstColumn="1" w:lastColumn="0" w:noHBand="0" w:noVBand="1" w:val="04A0"/>
      </w:tblPr>
      <w:tblGrid>
        <w:gridCol w:w="4253"/>
        <w:gridCol w:w="1134"/>
        <w:gridCol w:w="4253"/>
      </w:tblGrid>
      <w:tr w:rsidRPr="00384F1A" w:rsidR="00155245" w:rsidTr="00A97A48" w14:paraId="5E176AC1" w14:textId="77777777">
        <w:tc>
          <w:tcPr>
            <w:tcW w:w="4253" w:type="dxa"/>
            <w:tcBorders>
              <w:bottom w:val="single" w:color="auto" w:sz="4" w:space="0"/>
            </w:tcBorders>
          </w:tcPr>
          <w:p w:rsidRPr="00384F1A" w:rsidR="00155245" w:rsidP="00A97A48" w:rsidRDefault="00155245" w14:paraId="566F0AD8" w14:textId="7777777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Pr="00384F1A" w:rsidR="00155245" w:rsidP="00A97A48" w:rsidRDefault="00155245" w14:paraId="7CFFEB8A" w14:textId="77777777">
            <w:pPr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bottom w:val="single" w:color="auto" w:sz="4" w:space="0"/>
            </w:tcBorders>
          </w:tcPr>
          <w:p w:rsidRPr="00384F1A" w:rsidR="00155245" w:rsidP="00A97A48" w:rsidRDefault="00155245" w14:paraId="00FBFCA1" w14:textId="77777777">
            <w:pPr>
              <w:rPr>
                <w:rFonts w:cs="Arial"/>
                <w:sz w:val="20"/>
              </w:rPr>
            </w:pPr>
          </w:p>
        </w:tc>
      </w:tr>
      <w:tr w:rsidRPr="00384F1A" w:rsidR="00155245" w:rsidTr="00A97A48" w14:paraId="6F685040" w14:textId="77777777">
        <w:tc>
          <w:tcPr>
            <w:tcW w:w="4253" w:type="dxa"/>
            <w:tcBorders>
              <w:top w:val="single" w:color="auto" w:sz="4" w:space="0"/>
            </w:tcBorders>
          </w:tcPr>
          <w:p w:rsidRPr="00AD2F05" w:rsidR="00155245" w:rsidP="00A97A48" w:rsidRDefault="0066589A" w14:paraId="436745C8" w14:textId="77777777">
            <w:pPr>
              <w:spacing w:before="1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…………………………………………………………………………………………………………</w:t>
            </w:r>
          </w:p>
          <w:p w:rsidRPr="00AD2F05" w:rsidR="00155245" w:rsidP="00A97A48" w:rsidRDefault="00155245" w14:paraId="6BECDC86" w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D2F05">
              <w:rPr>
                <w:rFonts w:cs="Arial"/>
                <w:b/>
                <w:bCs/>
                <w:sz w:val="20"/>
              </w:rPr>
              <w:t xml:space="preserve">Česká republika -  Ministerstvo pro </w:t>
            </w:r>
          </w:p>
          <w:p w:rsidRPr="00AD2F05" w:rsidR="00155245" w:rsidP="00A97A48" w:rsidRDefault="00155245" w14:paraId="78D4FCD5" w14:textId="77777777">
            <w:pPr>
              <w:jc w:val="center"/>
              <w:rPr>
                <w:rFonts w:cs="Arial"/>
                <w:bCs/>
                <w:sz w:val="20"/>
              </w:rPr>
            </w:pPr>
            <w:r w:rsidRPr="00AD2F05">
              <w:rPr>
                <w:rFonts w:cs="Arial"/>
                <w:b/>
                <w:bCs/>
                <w:sz w:val="20"/>
              </w:rPr>
              <w:t>místní rozvoj</w:t>
            </w:r>
          </w:p>
        </w:tc>
        <w:tc>
          <w:tcPr>
            <w:tcW w:w="1134" w:type="dxa"/>
          </w:tcPr>
          <w:p w:rsidRPr="00384F1A" w:rsidR="00155245" w:rsidP="00A97A48" w:rsidRDefault="00155245" w14:paraId="1DF476D6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color="auto" w:sz="4" w:space="0"/>
            </w:tcBorders>
          </w:tcPr>
          <w:p w:rsidRPr="00DA3889" w:rsidR="00DA3889" w:rsidP="00DA3889" w:rsidRDefault="00DA3889" w14:paraId="467FA22B" w14:textId="77777777">
            <w:pPr>
              <w:spacing w:line="276" w:lineRule="auto"/>
              <w:jc w:val="center"/>
              <w:rPr>
                <w:rFonts w:cs="Arial"/>
                <w:sz w:val="8"/>
              </w:rPr>
            </w:pPr>
          </w:p>
          <w:p w:rsidRPr="00AD2F05" w:rsidR="00155245" w:rsidP="00DA3889" w:rsidRDefault="0066589A" w14:paraId="297D2ED4" w14:textId="77777777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………………………………………………………………………………………………………</w:t>
            </w:r>
          </w:p>
          <w:p w:rsidRPr="00AD2F05" w:rsidR="00155245" w:rsidP="00A97A48" w:rsidRDefault="0066589A" w14:paraId="427A4160" w14:textId="77777777">
            <w:pPr>
              <w:widowControl w:val="false"/>
              <w:jc w:val="center"/>
              <w:outlineLvl w:val="0"/>
              <w:rPr>
                <w:rFonts w:cs="Arial"/>
                <w:b/>
                <w:bCs/>
                <w:color w:val="000000"/>
                <w:spacing w:val="-4"/>
                <w:sz w:val="20"/>
              </w:rPr>
            </w:pPr>
            <w:r>
              <w:rPr>
                <w:rFonts w:cs="Arial"/>
                <w:b/>
                <w:bCs/>
                <w:color w:val="000000"/>
                <w:spacing w:val="-4"/>
                <w:sz w:val="20"/>
              </w:rPr>
              <w:t>XXX</w:t>
            </w:r>
          </w:p>
          <w:p w:rsidRPr="00384F1A" w:rsidR="00155245" w:rsidP="00A97A48" w:rsidRDefault="00155245" w14:paraId="672AC8DA" w14:textId="77777777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Pr="002408EF" w:rsidR="00FA4D69" w:rsidP="00B1667B" w:rsidRDefault="00FA4D69" w14:paraId="0FDB8729" w14:textId="77777777">
      <w:pPr>
        <w:rPr>
          <w:rFonts w:cs="Arial"/>
          <w:sz w:val="20"/>
        </w:rPr>
      </w:pPr>
    </w:p>
    <w:sectPr w:rsidRPr="002408EF" w:rsidR="00FA4D69" w:rsidSect="003A3B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B26D8A" w:rsidP="00FA4D69" w:rsidRDefault="00B26D8A" w14:paraId="14E09DC9" w14:textId="77777777">
      <w:r>
        <w:separator/>
      </w:r>
    </w:p>
  </w:endnote>
  <w:endnote w:type="continuationSeparator" w:id="0">
    <w:p w:rsidR="00B26D8A" w:rsidP="00FA4D69" w:rsidRDefault="00B26D8A" w14:paraId="32C7AA2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4345555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Pr="00DF49E8" w:rsidR="00DF49E8" w:rsidRDefault="003A3B15" w14:paraId="5D54FD23" w14:textId="6ED09C09">
        <w:pPr>
          <w:pStyle w:val="Zpat"/>
          <w:jc w:val="center"/>
          <w:rPr>
            <w:sz w:val="16"/>
            <w:szCs w:val="16"/>
          </w:rPr>
        </w:pPr>
        <w:r w:rsidRPr="00DF49E8">
          <w:rPr>
            <w:sz w:val="16"/>
            <w:szCs w:val="16"/>
          </w:rPr>
          <w:fldChar w:fldCharType="begin"/>
        </w:r>
        <w:r w:rsidRPr="00DF49E8" w:rsidR="00DF49E8">
          <w:rPr>
            <w:sz w:val="16"/>
            <w:szCs w:val="16"/>
          </w:rPr>
          <w:instrText>PAGE   \* MERGEFORMAT</w:instrText>
        </w:r>
        <w:r w:rsidRPr="00DF49E8">
          <w:rPr>
            <w:sz w:val="16"/>
            <w:szCs w:val="16"/>
          </w:rPr>
          <w:fldChar w:fldCharType="separate"/>
        </w:r>
        <w:r w:rsidR="00C8434E">
          <w:rPr>
            <w:noProof/>
            <w:sz w:val="16"/>
            <w:szCs w:val="16"/>
          </w:rPr>
          <w:t>4</w:t>
        </w:r>
        <w:r w:rsidRPr="00DF49E8">
          <w:rPr>
            <w:sz w:val="16"/>
            <w:szCs w:val="16"/>
          </w:rPr>
          <w:fldChar w:fldCharType="end"/>
        </w:r>
      </w:p>
    </w:sdtContent>
  </w:sdt>
  <w:p w:rsidR="00DF49E8" w:rsidRDefault="00DF49E8" w14:paraId="207FFCD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B26D8A" w:rsidP="00FA4D69" w:rsidRDefault="00B26D8A" w14:paraId="6ECB9301" w14:textId="77777777">
      <w:r>
        <w:separator/>
      </w:r>
    </w:p>
  </w:footnote>
  <w:footnote w:type="continuationSeparator" w:id="0">
    <w:p w:rsidR="00B26D8A" w:rsidP="00FA4D69" w:rsidRDefault="00B26D8A" w14:paraId="544A7AB4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26A4A01"/>
    <w:multiLevelType w:val="singleLevel"/>
    <w:tmpl w:val="765062D6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  <w:rPr>
        <w:b w:val="false"/>
        <w:i w:val="false"/>
        <w:sz w:val="20"/>
      </w:rPr>
    </w:lvl>
  </w:abstractNum>
  <w:abstractNum w:abstractNumId="1">
    <w:nsid w:val="142E5574"/>
    <w:multiLevelType w:val="hybridMultilevel"/>
    <w:tmpl w:val="B83EBB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3A16"/>
    <w:multiLevelType w:val="hybridMultilevel"/>
    <w:tmpl w:val="5B96E3AA"/>
    <w:lvl w:ilvl="0" w:tplc="2D765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40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false"/>
        <w:i w:val="false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0375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false"/>
        <w:i w:val="false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901CB"/>
    <w:multiLevelType w:val="hybridMultilevel"/>
    <w:tmpl w:val="F86ABFA2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1576D"/>
    <w:multiLevelType w:val="singleLevel"/>
    <w:tmpl w:val="765062D6"/>
    <w:lvl w:ilvl="0">
      <w:start w:val="1"/>
      <w:numFmt w:val="decimal"/>
      <w:lvlText w:val="%1."/>
      <w:legacy w:legacy="true" w:legacySpace="0" w:legacyIndent="283"/>
      <w:lvlJc w:val="left"/>
      <w:pPr>
        <w:ind w:left="283" w:hanging="283"/>
      </w:pPr>
      <w:rPr>
        <w:b w:val="false"/>
        <w:i w:val="false"/>
        <w:sz w:val="20"/>
      </w:rPr>
    </w:lvl>
  </w:abstractNum>
  <w:abstractNum w:abstractNumId="8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69"/>
    <w:rsid w:val="000048C7"/>
    <w:rsid w:val="00007BFC"/>
    <w:rsid w:val="00037FEF"/>
    <w:rsid w:val="00054331"/>
    <w:rsid w:val="000825CB"/>
    <w:rsid w:val="000B7692"/>
    <w:rsid w:val="00145305"/>
    <w:rsid w:val="00155245"/>
    <w:rsid w:val="001928CE"/>
    <w:rsid w:val="001B53EF"/>
    <w:rsid w:val="002408EF"/>
    <w:rsid w:val="00243C5C"/>
    <w:rsid w:val="00250E06"/>
    <w:rsid w:val="002608CA"/>
    <w:rsid w:val="00292458"/>
    <w:rsid w:val="002D4899"/>
    <w:rsid w:val="002F2FAA"/>
    <w:rsid w:val="00300541"/>
    <w:rsid w:val="00303E0A"/>
    <w:rsid w:val="00305477"/>
    <w:rsid w:val="00340DA6"/>
    <w:rsid w:val="003645D1"/>
    <w:rsid w:val="003823CA"/>
    <w:rsid w:val="003A1C9D"/>
    <w:rsid w:val="003A3B15"/>
    <w:rsid w:val="003C3F68"/>
    <w:rsid w:val="00401BA8"/>
    <w:rsid w:val="004045C7"/>
    <w:rsid w:val="00451E1B"/>
    <w:rsid w:val="0045754E"/>
    <w:rsid w:val="004B0E37"/>
    <w:rsid w:val="00504C94"/>
    <w:rsid w:val="00573729"/>
    <w:rsid w:val="005848DB"/>
    <w:rsid w:val="00587A7E"/>
    <w:rsid w:val="00594442"/>
    <w:rsid w:val="00597C87"/>
    <w:rsid w:val="005E5FEB"/>
    <w:rsid w:val="005F2C41"/>
    <w:rsid w:val="0062030A"/>
    <w:rsid w:val="0066589A"/>
    <w:rsid w:val="00676F38"/>
    <w:rsid w:val="006A3897"/>
    <w:rsid w:val="006E5785"/>
    <w:rsid w:val="006F25AD"/>
    <w:rsid w:val="006F6536"/>
    <w:rsid w:val="007706A7"/>
    <w:rsid w:val="007E1FA4"/>
    <w:rsid w:val="00840FC1"/>
    <w:rsid w:val="00847362"/>
    <w:rsid w:val="0086029A"/>
    <w:rsid w:val="008B2E98"/>
    <w:rsid w:val="008D367F"/>
    <w:rsid w:val="008E51DA"/>
    <w:rsid w:val="008F09E0"/>
    <w:rsid w:val="0091203F"/>
    <w:rsid w:val="00942DE1"/>
    <w:rsid w:val="009814D8"/>
    <w:rsid w:val="00A025E1"/>
    <w:rsid w:val="00A11CBD"/>
    <w:rsid w:val="00A72CFC"/>
    <w:rsid w:val="00A772F2"/>
    <w:rsid w:val="00A96D32"/>
    <w:rsid w:val="00AF35E1"/>
    <w:rsid w:val="00B042DC"/>
    <w:rsid w:val="00B10DC1"/>
    <w:rsid w:val="00B1667B"/>
    <w:rsid w:val="00B26D8A"/>
    <w:rsid w:val="00BA024D"/>
    <w:rsid w:val="00BB23AF"/>
    <w:rsid w:val="00BD2762"/>
    <w:rsid w:val="00C17CCF"/>
    <w:rsid w:val="00C25344"/>
    <w:rsid w:val="00C401E6"/>
    <w:rsid w:val="00C732F4"/>
    <w:rsid w:val="00C745ED"/>
    <w:rsid w:val="00C8434E"/>
    <w:rsid w:val="00C96047"/>
    <w:rsid w:val="00CE44C3"/>
    <w:rsid w:val="00D513D0"/>
    <w:rsid w:val="00D67A82"/>
    <w:rsid w:val="00DA3889"/>
    <w:rsid w:val="00DA7DC2"/>
    <w:rsid w:val="00DC459B"/>
    <w:rsid w:val="00DF49E8"/>
    <w:rsid w:val="00E4125E"/>
    <w:rsid w:val="00E645AB"/>
    <w:rsid w:val="00EF6EAD"/>
    <w:rsid w:val="00F4532D"/>
    <w:rsid w:val="00F607DE"/>
    <w:rsid w:val="00F80AEF"/>
    <w:rsid w:val="00F90C9C"/>
    <w:rsid w:val="00FA1C76"/>
    <w:rsid w:val="00FA4D69"/>
    <w:rsid w:val="00FC526B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50A0B561"/>
  <w15:docId w15:val="{6A147E1F-5836-41D3-BCFB-7643C91EDF9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A4D69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Arial" w:hAnsi="Arial" w:eastAsia="Times New Roman" w:cs="Times New Roman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odyTextIndent31" w:customStyle="true">
    <w:name w:val="Body Text Indent 31"/>
    <w:basedOn w:val="Normln"/>
    <w:rsid w:val="00FA4D69"/>
    <w:pPr>
      <w:ind w:left="284" w:hanging="284"/>
      <w:jc w:val="both"/>
    </w:pPr>
  </w:style>
  <w:style w:type="paragraph" w:styleId="Odstavecseseznamem">
    <w:name w:val="List Paragraph"/>
    <w:basedOn w:val="Normln"/>
    <w:uiPriority w:val="34"/>
    <w:qFormat/>
    <w:rsid w:val="00FA4D69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FA4D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A4D69"/>
    <w:rPr>
      <w:rFonts w:ascii="Arial" w:hAnsi="Arial"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4D6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A4D69"/>
    <w:rPr>
      <w:rFonts w:ascii="Arial" w:hAnsi="Arial" w:eastAsia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645D1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0"/>
      <w:lang w:val="en-US"/>
    </w:rPr>
  </w:style>
  <w:style w:type="character" w:styleId="ZkladntextodsazenChar" w:customStyle="true">
    <w:name w:val="Základní text odsazený Char"/>
    <w:basedOn w:val="Standardnpsmoodstavce"/>
    <w:link w:val="Zkladntextodsazen"/>
    <w:rsid w:val="003645D1"/>
    <w:rPr>
      <w:rFonts w:ascii="Times New Roman" w:hAnsi="Times New Roman" w:eastAsia="Times New Roman" w:cs="Times New Roman"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76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D2762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2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762"/>
    <w:rPr>
      <w:sz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BD2762"/>
    <w:rPr>
      <w:rFonts w:ascii="Arial" w:hAnsi="Arial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76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D2762"/>
    <w:rPr>
      <w:rFonts w:ascii="Arial" w:hAnsi="Arial" w:eastAsia="Times New Roman" w:cs="Times New Roman"/>
      <w:b/>
      <w:bCs/>
      <w:sz w:val="20"/>
      <w:szCs w:val="20"/>
      <w:lang w:eastAsia="cs-CZ"/>
    </w:rPr>
  </w:style>
  <w:style w:type="paragraph" w:styleId="Preambule" w:customStyle="true">
    <w:name w:val="Preambule"/>
    <w:basedOn w:val="Normln"/>
    <w:qFormat/>
    <w:rsid w:val="00BA024D"/>
    <w:pPr>
      <w:widowControl w:val="false"/>
      <w:numPr>
        <w:numId w:val="10"/>
      </w:numPr>
      <w:overflowPunct/>
      <w:autoSpaceDE/>
      <w:autoSpaceDN/>
      <w:adjustRightInd/>
      <w:spacing w:before="120" w:after="120"/>
      <w:ind w:hanging="567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styleId="Text" w:customStyle="true">
    <w:name w:val="Text"/>
    <w:basedOn w:val="Normln"/>
    <w:rsid w:val="009814D8"/>
    <w:pPr>
      <w:widowControl w:val="false"/>
      <w:tabs>
        <w:tab w:val="left" w:pos="227"/>
      </w:tabs>
      <w:overflowPunct/>
      <w:autoSpaceDE/>
      <w:autoSpaceDN/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808181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9DC9FB7-9D56-4D19-8C7E-4FEFF4255D1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MMR</properties:Company>
  <properties:Pages>4</properties:Pages>
  <properties:Words>1107</properties:Words>
  <properties:Characters>6533</properties:Characters>
  <properties:Lines>54</properties:Lines>
  <properties:Paragraphs>15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7625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2020-03-13T13:13:00Z</dcterms:created>
  <dc:creator/>
  <cp:lastModifiedBy/>
  <cp:lastPrinted>2015-07-27T07:09:00Z</cp:lastPrinted>
  <dcterms:modified xmlns:xsi="http://www.w3.org/2001/XMLSchema-instance" xsi:type="dcterms:W3CDTF">2020-03-13T13:13:00Z</dcterms:modified>
  <cp:revision>2</cp:revision>
</cp:coreProperties>
</file>