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3A18B7" w:rsidRDefault="003A18B7"/>
    <w:p w:rsidRPr="00EA56B7" w:rsidR="00EA56B7" w:rsidRDefault="00EA56B7">
      <w:pPr>
        <w:rPr>
          <w:rFonts w:ascii="Palatino Linotype" w:hAnsi="Palatino Linotype"/>
          <w:b/>
          <w:sz w:val="36"/>
          <w:szCs w:val="36"/>
        </w:rPr>
      </w:pPr>
      <w:r w:rsidRPr="00EA56B7">
        <w:rPr>
          <w:rFonts w:ascii="Palatino Linotype" w:hAnsi="Palatino Linotype"/>
          <w:b/>
          <w:sz w:val="36"/>
          <w:szCs w:val="36"/>
        </w:rPr>
        <w:t>TECHNICKÁ SPECIFIKACE DÍLA</w:t>
      </w:r>
    </w:p>
    <w:p w:rsidRPr="006E72A3" w:rsidR="00EA56B7" w:rsidP="00EA56B7" w:rsidRDefault="00EA56B7">
      <w:pPr>
        <w:spacing w:before="60" w:after="60"/>
        <w:ind w:right="57"/>
        <w:rPr>
          <w:rFonts w:ascii="Palatino Linotype" w:hAnsi="Palatino Linotype" w:eastAsia="Arial"/>
          <w:b/>
          <w:color w:val="080808"/>
        </w:rPr>
      </w:pPr>
      <w:r>
        <w:rPr>
          <w:rFonts w:ascii="Palatino Linotype" w:hAnsi="Palatino Linotype" w:eastAsia="Arial"/>
          <w:b/>
          <w:color w:val="080808"/>
          <w:u w:val="single"/>
        </w:rPr>
        <w:t>P</w:t>
      </w:r>
      <w:r w:rsidRPr="006E72A3">
        <w:rPr>
          <w:rFonts w:ascii="Palatino Linotype" w:hAnsi="Palatino Linotype" w:eastAsia="Arial"/>
          <w:b/>
          <w:color w:val="080808"/>
          <w:u w:val="single"/>
        </w:rPr>
        <w:t>ožadované technické parametry elektronické úřední desky vč. software</w:t>
      </w:r>
      <w:r w:rsidRPr="006E72A3">
        <w:rPr>
          <w:rFonts w:ascii="Palatino Linotype" w:hAnsi="Palatino Linotype" w:eastAsia="Arial"/>
          <w:b/>
          <w:color w:val="080808"/>
        </w:rPr>
        <w:t xml:space="preserve">: </w:t>
      </w:r>
    </w:p>
    <w:p w:rsidRPr="006E72A3" w:rsidR="00EA56B7" w:rsidP="00EA56B7" w:rsidRDefault="00EA56B7">
      <w:pPr>
        <w:spacing w:before="60" w:after="60"/>
        <w:ind w:right="57"/>
        <w:rPr>
          <w:rFonts w:ascii="Palatino Linotype" w:hAnsi="Palatino Linotype" w:eastAsia="Arial"/>
          <w:b/>
          <w:color w:val="080808"/>
        </w:rPr>
      </w:pPr>
    </w:p>
    <w:p w:rsidRPr="006E72A3" w:rsidR="00EA56B7" w:rsidP="00EA56B7" w:rsidRDefault="00EA56B7">
      <w:pPr>
        <w:jc w:val="both"/>
        <w:rPr>
          <w:rFonts w:ascii="Palatino Linotype" w:hAnsi="Palatino Linotype" w:cs="Arial"/>
          <w:b/>
        </w:rPr>
      </w:pPr>
      <w:r w:rsidRPr="006E72A3">
        <w:rPr>
          <w:rFonts w:ascii="Palatino Linotype" w:hAnsi="Palatino Linotype" w:cs="Arial"/>
          <w:b/>
        </w:rPr>
        <w:t>Napojení na informační datový zdroj</w:t>
      </w:r>
    </w:p>
    <w:p w:rsidRPr="00D826A4" w:rsidR="00EA56B7" w:rsidP="00EA56B7" w:rsidRDefault="00EA56B7">
      <w:pPr>
        <w:jc w:val="both"/>
        <w:rPr>
          <w:rFonts w:ascii="Palatino Linotype" w:hAnsi="Palatino Linotype" w:cs="Arial"/>
        </w:rPr>
      </w:pPr>
      <w:r w:rsidRPr="00D826A4">
        <w:rPr>
          <w:rFonts w:ascii="Palatino Linotype" w:hAnsi="Palatino Linotype" w:cs="Arial"/>
        </w:rPr>
        <w:t xml:space="preserve">Datovým zdrojem pro </w:t>
      </w:r>
      <w:r w:rsidRPr="00D826A4" w:rsidR="004A5C04">
        <w:rPr>
          <w:rFonts w:ascii="Palatino Linotype" w:hAnsi="Palatino Linotype" w:cs="Arial"/>
        </w:rPr>
        <w:t xml:space="preserve">elektronickou úřední desku </w:t>
      </w:r>
      <w:r w:rsidRPr="00D826A4">
        <w:rPr>
          <w:rFonts w:ascii="Palatino Linotype" w:hAnsi="Palatino Linotype" w:cs="Arial"/>
        </w:rPr>
        <w:t xml:space="preserve">bude </w:t>
      </w:r>
      <w:r w:rsidRPr="00D826A4" w:rsidR="004A5C04">
        <w:rPr>
          <w:rFonts w:ascii="Palatino Linotype" w:hAnsi="Palatino Linotype" w:cs="Arial"/>
        </w:rPr>
        <w:t xml:space="preserve">stávající webová stránka </w:t>
      </w:r>
      <w:hyperlink w:history="true" r:id="rId7">
        <w:r w:rsidRPr="00D826A4" w:rsidR="004A5C04">
          <w:rPr>
            <w:rFonts w:ascii="Palatino Linotype" w:hAnsi="Palatino Linotype" w:cs="Arial"/>
            <w:u w:val="single"/>
          </w:rPr>
          <w:t>https://www.vitkov.info/mestsky-urad/uredni-deska/</w:t>
        </w:r>
      </w:hyperlink>
      <w:r w:rsidRPr="00D826A4" w:rsidR="004A5C04">
        <w:rPr>
          <w:rFonts w:ascii="Palatino Linotype" w:hAnsi="Palatino Linotype" w:cs="Arial"/>
          <w:u w:val="single"/>
        </w:rPr>
        <w:t>.</w:t>
      </w:r>
    </w:p>
    <w:p w:rsidRPr="006E72A3" w:rsidR="004A5C04" w:rsidP="00EA56B7" w:rsidRDefault="004A5C04">
      <w:pPr>
        <w:jc w:val="both"/>
        <w:rPr>
          <w:rFonts w:ascii="Palatino Linotype" w:hAnsi="Palatino Linotype" w:cs="Arial"/>
        </w:rPr>
      </w:pPr>
    </w:p>
    <w:p w:rsidRPr="006E72A3" w:rsidR="00EA56B7" w:rsidP="00EA56B7" w:rsidRDefault="00EA56B7">
      <w:pPr>
        <w:jc w:val="both"/>
        <w:rPr>
          <w:rFonts w:ascii="Palatino Linotype" w:hAnsi="Palatino Linotype" w:cs="Arial"/>
          <w:b/>
          <w:bCs/>
          <w:i/>
        </w:rPr>
      </w:pPr>
      <w:r w:rsidRPr="006E72A3">
        <w:rPr>
          <w:rFonts w:ascii="Palatino Linotype" w:hAnsi="Palatino Linotype" w:cs="Arial"/>
          <w:b/>
          <w:bCs/>
          <w:i/>
        </w:rPr>
        <w:t>Specifikace předmětu plnění:</w:t>
      </w:r>
    </w:p>
    <w:p w:rsidRPr="006E72A3" w:rsidR="00EA56B7" w:rsidP="00EA56B7" w:rsidRDefault="00EA56B7">
      <w:pPr>
        <w:numPr>
          <w:ilvl w:val="0"/>
          <w:numId w:val="1"/>
        </w:numPr>
        <w:spacing w:after="220" w:line="240" w:lineRule="auto"/>
        <w:ind w:left="284" w:hanging="284"/>
        <w:jc w:val="both"/>
        <w:outlineLvl w:val="1"/>
        <w:rPr>
          <w:rFonts w:ascii="Palatino Linotype" w:hAnsi="Palatino Linotype" w:cs="Arial"/>
        </w:rPr>
      </w:pPr>
      <w:r w:rsidRPr="006E72A3">
        <w:rPr>
          <w:rFonts w:ascii="Palatino Linotype" w:hAnsi="Palatino Linotype" w:cs="Arial"/>
        </w:rPr>
        <w:t xml:space="preserve">Připojení elektrické a datové sítě zajistí zadavatel. </w:t>
      </w:r>
      <w:r>
        <w:rPr>
          <w:rFonts w:ascii="Palatino Linotype" w:hAnsi="Palatino Linotype" w:cs="Arial"/>
        </w:rPr>
        <w:t>Smluvní cena obsahuje</w:t>
      </w:r>
      <w:r w:rsidRPr="006E72A3">
        <w:rPr>
          <w:rFonts w:ascii="Palatino Linotype" w:hAnsi="Palatino Linotype" w:cs="Arial"/>
        </w:rPr>
        <w:t xml:space="preserve"> veškeré práce a činnosti nutné pro zdárné uskutečnění dodávky zařízení dle zadávacích podmínek. </w:t>
      </w:r>
    </w:p>
    <w:p w:rsidRPr="006E72A3" w:rsidR="00EA56B7" w:rsidP="00EA56B7" w:rsidRDefault="00EA56B7">
      <w:pPr>
        <w:numPr>
          <w:ilvl w:val="0"/>
          <w:numId w:val="1"/>
        </w:numPr>
        <w:spacing w:after="220" w:line="240" w:lineRule="auto"/>
        <w:ind w:left="284" w:hanging="284"/>
        <w:contextualSpacing/>
        <w:jc w:val="both"/>
        <w:outlineLvl w:val="1"/>
        <w:rPr>
          <w:rFonts w:ascii="Palatino Linotype" w:hAnsi="Palatino Linotype" w:cs="Arial"/>
        </w:rPr>
      </w:pPr>
      <w:r w:rsidRPr="006E72A3">
        <w:rPr>
          <w:rFonts w:ascii="Palatino Linotype" w:hAnsi="Palatino Linotype" w:cs="Arial"/>
        </w:rPr>
        <w:t>Pokud je v zadávací dokumentaci uvedeno jméno nebo obchodní označení konkrétního výrobku nebo výrobce, jedná se pouze o způsob určení minimálních požadavků na kvalitu a způsob provedení daného výrobku, a to příkladným odkazem na konkrétní výrobek či výrobce s tím, že tento výrobek nebo výrobce není z tohoto důvodu zadavatelem jakkoliv preferován či jinak zvýhodněn. Pokud uchazeč bude nabízet jiný výrobek nebo jiného výrobce, je povinen dodržet minimální požadavky na kvalitu a způsob provedení daného výrobku a je zároveň zodpovědný za splnění všech požadovaných parametrů ostatních prací a dodávek.</w:t>
      </w:r>
    </w:p>
    <w:p w:rsidRPr="006E72A3" w:rsidR="00EA56B7" w:rsidP="00EA56B7" w:rsidRDefault="00EA56B7">
      <w:pPr>
        <w:jc w:val="both"/>
        <w:outlineLvl w:val="1"/>
        <w:rPr>
          <w:rFonts w:ascii="Palatino Linotype" w:hAnsi="Palatino Linotype" w:cs="Arial"/>
          <w:b/>
          <w:color w:val="FF0000"/>
        </w:rPr>
      </w:pPr>
    </w:p>
    <w:p w:rsidRPr="006E72A3" w:rsidR="00EA56B7" w:rsidP="00EA56B7" w:rsidRDefault="00EA56B7">
      <w:pPr>
        <w:keepNext/>
        <w:outlineLvl w:val="0"/>
        <w:rPr>
          <w:rFonts w:ascii="Palatino Linotype" w:hAnsi="Palatino Linotype"/>
          <w:b/>
        </w:rPr>
      </w:pPr>
      <w:r w:rsidRPr="006E72A3">
        <w:rPr>
          <w:rFonts w:ascii="Palatino Linotype" w:hAnsi="Palatino Linotype"/>
          <w:b/>
        </w:rPr>
        <w:t>Minimální požadavky:</w:t>
      </w:r>
    </w:p>
    <w:p w:rsidRPr="006E72A3" w:rsidR="00EA56B7" w:rsidP="00EA56B7" w:rsidRDefault="00EA56B7">
      <w:pPr>
        <w:keepNext/>
        <w:outlineLvl w:val="1"/>
        <w:rPr>
          <w:rFonts w:ascii="Palatino Linotype" w:hAnsi="Palatino Linotype"/>
          <w:b/>
          <w:bCs/>
        </w:rPr>
      </w:pPr>
      <w:r w:rsidRPr="006E72A3">
        <w:rPr>
          <w:rFonts w:ascii="Palatino Linotype" w:hAnsi="Palatino Linotype"/>
          <w:b/>
          <w:bCs/>
        </w:rPr>
        <w:t>Základní požadavek</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Volně stojící elektronická úřední deska, vertikální, oboustranná.</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Obě strany v provedení s reakcí na dotyk.</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Zařízení (LCD panel, počítač) pro zobrazování musí být pro každou stranu vzájemně funkčně nezávislé. Při výpadku jednoho nesmí dojít k výpadku druhého (každá strana musí obsahovat samostatná zařízení).</w:t>
      </w:r>
    </w:p>
    <w:p w:rsidRPr="00D826A4" w:rsidR="00EA56B7" w:rsidP="00D826A4" w:rsidRDefault="00EA56B7">
      <w:pPr>
        <w:numPr>
          <w:ilvl w:val="0"/>
          <w:numId w:val="2"/>
        </w:numPr>
        <w:spacing w:after="220" w:line="240" w:lineRule="auto"/>
        <w:ind w:left="284" w:hanging="284"/>
        <w:contextualSpacing/>
        <w:jc w:val="both"/>
        <w:rPr>
          <w:rFonts w:ascii="Palatino Linotype" w:hAnsi="Palatino Linotype" w:cs="Tahoma"/>
        </w:rPr>
      </w:pPr>
      <w:r w:rsidRPr="00D826A4">
        <w:rPr>
          <w:rFonts w:ascii="Palatino Linotype" w:hAnsi="Palatino Linotype" w:cs="Tahoma"/>
        </w:rPr>
        <w:t>Elektronická úřední deska bude vybavena elektrickým záložním zdrojem pro případ výpadku elektrické energie</w:t>
      </w:r>
      <w:r w:rsidRPr="00D826A4" w:rsidR="00FB4781">
        <w:rPr>
          <w:rFonts w:ascii="Palatino Linotype" w:hAnsi="Palatino Linotype" w:cs="Tahoma"/>
        </w:rPr>
        <w:t>, který ud</w:t>
      </w:r>
      <w:r w:rsidRPr="00D826A4" w:rsidR="00330370">
        <w:rPr>
          <w:rFonts w:ascii="Palatino Linotype" w:hAnsi="Palatino Linotype" w:cs="Tahoma"/>
        </w:rPr>
        <w:t xml:space="preserve">rží zařízení v provozu po dobu </w:t>
      </w:r>
      <w:r w:rsidRPr="00D826A4" w:rsidR="00322DD7">
        <w:rPr>
          <w:rFonts w:ascii="Palatino Linotype" w:hAnsi="Palatino Linotype" w:cs="Tahoma"/>
        </w:rPr>
        <w:t xml:space="preserve">min. </w:t>
      </w:r>
      <w:r w:rsidRPr="00D826A4" w:rsidR="004F38AC">
        <w:rPr>
          <w:rFonts w:ascii="Palatino Linotype" w:hAnsi="Palatino Linotype" w:cs="Tahoma"/>
        </w:rPr>
        <w:t>10</w:t>
      </w:r>
      <w:r w:rsidRPr="00D826A4" w:rsidR="00330370">
        <w:rPr>
          <w:rFonts w:ascii="Palatino Linotype" w:hAnsi="Palatino Linotype" w:cs="Tahoma"/>
        </w:rPr>
        <w:t xml:space="preserve"> </w:t>
      </w:r>
      <w:r w:rsidRPr="00D826A4" w:rsidR="00FB4781">
        <w:rPr>
          <w:rFonts w:ascii="Palatino Linotype" w:hAnsi="Palatino Linotype" w:cs="Tahoma"/>
        </w:rPr>
        <w:t>minut v případě výpadku elektrické energie.</w:t>
      </w:r>
    </w:p>
    <w:p w:rsidRPr="006E72A3" w:rsidR="00FB4781" w:rsidP="00FB4781" w:rsidRDefault="00FB4781">
      <w:pPr>
        <w:spacing w:after="220" w:line="240" w:lineRule="auto"/>
        <w:ind w:left="720"/>
        <w:contextualSpacing/>
        <w:jc w:val="both"/>
        <w:rPr>
          <w:rFonts w:ascii="Palatino Linotype" w:hAnsi="Palatino Linotype" w:cs="Tahoma"/>
        </w:rPr>
      </w:pPr>
    </w:p>
    <w:p w:rsidRPr="006E72A3" w:rsidR="00EA56B7" w:rsidP="00EA56B7" w:rsidRDefault="00EA56B7">
      <w:pPr>
        <w:keepNext/>
        <w:outlineLvl w:val="1"/>
        <w:rPr>
          <w:rFonts w:ascii="Palatino Linotype" w:hAnsi="Palatino Linotype"/>
          <w:b/>
          <w:bCs/>
        </w:rPr>
      </w:pPr>
      <w:r w:rsidRPr="006E72A3">
        <w:rPr>
          <w:rFonts w:ascii="Palatino Linotype" w:hAnsi="Palatino Linotype"/>
          <w:b/>
          <w:bCs/>
        </w:rPr>
        <w:t>Konstrukce</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 xml:space="preserve">Plně </w:t>
      </w:r>
      <w:proofErr w:type="spellStart"/>
      <w:r w:rsidRPr="006E72A3">
        <w:rPr>
          <w:rFonts w:ascii="Palatino Linotype" w:hAnsi="Palatino Linotype" w:cs="Tahoma"/>
        </w:rPr>
        <w:t>outdoorové</w:t>
      </w:r>
      <w:proofErr w:type="spellEnd"/>
      <w:r w:rsidRPr="006E72A3">
        <w:rPr>
          <w:rFonts w:ascii="Palatino Linotype" w:hAnsi="Palatino Linotype" w:cs="Tahoma"/>
        </w:rPr>
        <w:t xml:space="preserve"> provedení. Provoz za každého počasí s ohledem na klimatické podmínky v místě instalace elektronické úřední desky.</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Provozní rozsah pro teploty okolí od -30°C až +50°C.</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Provozní rozsah až +75°C na přímém slunci.</w:t>
      </w:r>
    </w:p>
    <w:p w:rsidR="00495D38" w:rsidP="00495D38"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Provozní rozsah vlhkosti 0 – 100%.</w:t>
      </w:r>
    </w:p>
    <w:p w:rsidRPr="00495D38" w:rsidR="00495D38" w:rsidP="00495D38" w:rsidRDefault="00495D38">
      <w:pPr>
        <w:numPr>
          <w:ilvl w:val="0"/>
          <w:numId w:val="2"/>
        </w:numPr>
        <w:spacing w:after="220" w:line="240" w:lineRule="auto"/>
        <w:ind w:left="284" w:hanging="284"/>
        <w:contextualSpacing/>
        <w:jc w:val="both"/>
        <w:rPr>
          <w:rFonts w:ascii="Palatino Linotype" w:hAnsi="Palatino Linotype" w:cs="Tahoma"/>
        </w:rPr>
      </w:pPr>
      <w:r>
        <w:rPr>
          <w:rFonts w:ascii="Palatino Linotype" w:hAnsi="Palatino Linotype" w:cs="Tahoma"/>
        </w:rPr>
        <w:t>S</w:t>
      </w:r>
      <w:r w:rsidRPr="00495D38">
        <w:rPr>
          <w:rFonts w:ascii="Palatino Linotype" w:hAnsi="Palatino Linotype" w:cs="Tahoma"/>
        </w:rPr>
        <w:t>tříška</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lastRenderedPageBreak/>
        <w:t xml:space="preserve">Vnitřní klimatizační systém se samoregulací, který zajistí stabilní a optimální prostředí pro zařízení </w:t>
      </w:r>
    </w:p>
    <w:p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Provedení musí být odolné proti poškození vandaly</w:t>
      </w:r>
      <w:r w:rsidR="00085B4C">
        <w:rPr>
          <w:rFonts w:ascii="Palatino Linotype" w:hAnsi="Palatino Linotype" w:cs="Tahoma"/>
        </w:rPr>
        <w:t xml:space="preserve"> (</w:t>
      </w:r>
      <w:r w:rsidRPr="006E72A3">
        <w:rPr>
          <w:rFonts w:ascii="Palatino Linotype" w:hAnsi="Palatino Linotype" w:cs="Tahoma"/>
        </w:rPr>
        <w:t xml:space="preserve">kovová konstrukce, anti-nálepkový </w:t>
      </w:r>
      <w:r w:rsidR="00085B4C">
        <w:rPr>
          <w:rFonts w:ascii="Palatino Linotype" w:hAnsi="Palatino Linotype" w:cs="Tahoma"/>
        </w:rPr>
        <w:t>a anti-</w:t>
      </w:r>
      <w:proofErr w:type="spellStart"/>
      <w:r w:rsidR="00085B4C">
        <w:rPr>
          <w:rFonts w:ascii="Palatino Linotype" w:hAnsi="Palatino Linotype" w:cs="Tahoma"/>
        </w:rPr>
        <w:t>grafiti</w:t>
      </w:r>
      <w:proofErr w:type="spellEnd"/>
      <w:r w:rsidR="00085B4C">
        <w:rPr>
          <w:rFonts w:ascii="Palatino Linotype" w:hAnsi="Palatino Linotype" w:cs="Tahoma"/>
        </w:rPr>
        <w:t xml:space="preserve"> </w:t>
      </w:r>
      <w:r w:rsidRPr="006E72A3">
        <w:rPr>
          <w:rFonts w:ascii="Palatino Linotype" w:hAnsi="Palatino Linotype" w:cs="Tahoma"/>
        </w:rPr>
        <w:t>povrch</w:t>
      </w:r>
      <w:r w:rsidR="00085B4C">
        <w:rPr>
          <w:rFonts w:ascii="Palatino Linotype" w:hAnsi="Palatino Linotype" w:cs="Tahoma"/>
        </w:rPr>
        <w:t>)</w:t>
      </w:r>
    </w:p>
    <w:p w:rsidRPr="007B79C7"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7B79C7">
        <w:rPr>
          <w:rFonts w:ascii="Palatino Linotype" w:hAnsi="Palatino Linotype" w:cs="Tahoma"/>
        </w:rPr>
        <w:t>Možnost ovládání handicapovanými osobami</w:t>
      </w:r>
    </w:p>
    <w:p w:rsidRPr="006E72A3" w:rsidR="00EA56B7" w:rsidP="00EA56B7" w:rsidRDefault="00EA56B7">
      <w:pPr>
        <w:numPr>
          <w:ilvl w:val="0"/>
          <w:numId w:val="2"/>
        </w:numPr>
        <w:spacing w:after="200" w:line="276" w:lineRule="auto"/>
        <w:ind w:left="284" w:hanging="284"/>
        <w:contextualSpacing/>
        <w:jc w:val="both"/>
        <w:rPr>
          <w:rFonts w:ascii="Palatino Linotype" w:hAnsi="Palatino Linotype" w:cs="Tahoma"/>
        </w:rPr>
      </w:pPr>
      <w:r w:rsidRPr="006E72A3">
        <w:rPr>
          <w:rFonts w:ascii="Palatino Linotype" w:hAnsi="Palatino Linotype" w:cs="Tahoma"/>
        </w:rPr>
        <w:t>Ochrana LCD panelu</w:t>
      </w:r>
    </w:p>
    <w:p w:rsidRPr="006E72A3" w:rsidR="00EA56B7" w:rsidP="00EA56B7" w:rsidRDefault="00EA56B7">
      <w:pPr>
        <w:numPr>
          <w:ilvl w:val="1"/>
          <w:numId w:val="2"/>
        </w:numPr>
        <w:spacing w:after="200" w:line="276" w:lineRule="auto"/>
        <w:contextualSpacing/>
        <w:jc w:val="both"/>
        <w:rPr>
          <w:rFonts w:ascii="Palatino Linotype" w:hAnsi="Palatino Linotype" w:cs="Tahoma"/>
        </w:rPr>
      </w:pPr>
      <w:r w:rsidRPr="006E72A3">
        <w:rPr>
          <w:rFonts w:ascii="Palatino Linotype" w:hAnsi="Palatino Linotype" w:cs="Tahoma"/>
        </w:rPr>
        <w:t>Tvrzené sklo</w:t>
      </w:r>
    </w:p>
    <w:p w:rsidRPr="006E72A3" w:rsidR="00EA56B7" w:rsidP="00EA56B7" w:rsidRDefault="00EA56B7">
      <w:pPr>
        <w:numPr>
          <w:ilvl w:val="1"/>
          <w:numId w:val="2"/>
        </w:numPr>
        <w:spacing w:after="200" w:line="276" w:lineRule="auto"/>
        <w:contextualSpacing/>
        <w:jc w:val="both"/>
        <w:rPr>
          <w:rFonts w:ascii="Palatino Linotype" w:hAnsi="Palatino Linotype" w:cs="Tahoma"/>
        </w:rPr>
      </w:pPr>
      <w:r w:rsidRPr="006E72A3">
        <w:rPr>
          <w:rFonts w:ascii="Palatino Linotype" w:hAnsi="Palatino Linotype" w:cs="Tahoma"/>
        </w:rPr>
        <w:t>Antireflexní úprava skla</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Třída krytí IP66.</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Ochrana proti korozi a UV záření.</w:t>
      </w:r>
    </w:p>
    <w:p w:rsidRPr="006E72A3" w:rsidR="00EA56B7" w:rsidP="00EA56B7" w:rsidRDefault="00EA56B7">
      <w:pPr>
        <w:numPr>
          <w:ilvl w:val="0"/>
          <w:numId w:val="2"/>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Provoz 24/7/365.</w:t>
      </w:r>
    </w:p>
    <w:p w:rsidRPr="006E72A3" w:rsidR="00EA56B7" w:rsidP="00EA56B7" w:rsidRDefault="00EA56B7">
      <w:pPr>
        <w:keepNext/>
        <w:outlineLvl w:val="1"/>
        <w:rPr>
          <w:rFonts w:ascii="Palatino Linotype" w:hAnsi="Palatino Linotype"/>
          <w:b/>
          <w:bCs/>
        </w:rPr>
      </w:pPr>
    </w:p>
    <w:p w:rsidRPr="006E72A3" w:rsidR="00EA56B7" w:rsidP="00495D38" w:rsidRDefault="00EA56B7">
      <w:pPr>
        <w:keepNext/>
        <w:outlineLvl w:val="1"/>
        <w:rPr>
          <w:rFonts w:ascii="Palatino Linotype" w:hAnsi="Palatino Linotype"/>
          <w:b/>
          <w:bCs/>
        </w:rPr>
      </w:pPr>
      <w:r w:rsidRPr="006E72A3">
        <w:rPr>
          <w:rFonts w:ascii="Palatino Linotype" w:hAnsi="Palatino Linotype"/>
          <w:b/>
          <w:bCs/>
        </w:rPr>
        <w:t>LCD panel</w:t>
      </w:r>
    </w:p>
    <w:p w:rsidRPr="006E72A3" w:rsidR="00EA56B7" w:rsidP="00495D38" w:rsidRDefault="00EA56B7">
      <w:pPr>
        <w:numPr>
          <w:ilvl w:val="0"/>
          <w:numId w:val="2"/>
        </w:numPr>
        <w:spacing w:after="200" w:line="276" w:lineRule="auto"/>
        <w:ind w:left="284" w:hanging="284"/>
        <w:contextualSpacing/>
        <w:jc w:val="both"/>
        <w:rPr>
          <w:rFonts w:ascii="Palatino Linotype" w:hAnsi="Palatino Linotype" w:cs="Tahoma"/>
        </w:rPr>
      </w:pPr>
      <w:r w:rsidRPr="006E72A3">
        <w:rPr>
          <w:rFonts w:ascii="Palatino Linotype" w:hAnsi="Palatino Linotype" w:cs="Tahoma"/>
        </w:rPr>
        <w:t>LCD panel – min. rozlišení 1920 x 1080px nebo vyšší</w:t>
      </w:r>
    </w:p>
    <w:p w:rsidRPr="006E72A3" w:rsidR="00EA56B7" w:rsidP="00495D38" w:rsidRDefault="00EA56B7">
      <w:pPr>
        <w:numPr>
          <w:ilvl w:val="0"/>
          <w:numId w:val="2"/>
        </w:numPr>
        <w:spacing w:after="200" w:line="276" w:lineRule="auto"/>
        <w:ind w:left="284" w:hanging="284"/>
        <w:contextualSpacing/>
        <w:jc w:val="both"/>
        <w:rPr>
          <w:rFonts w:ascii="Palatino Linotype" w:hAnsi="Palatino Linotype" w:cs="Tahoma"/>
        </w:rPr>
      </w:pPr>
      <w:r w:rsidRPr="006E72A3">
        <w:rPr>
          <w:rFonts w:ascii="Palatino Linotype" w:hAnsi="Palatino Linotype" w:cs="Tahoma"/>
        </w:rPr>
        <w:t>Úhlopříčka min. 46“</w:t>
      </w:r>
    </w:p>
    <w:p w:rsidR="00495D38" w:rsidP="00495D38" w:rsidRDefault="00EA56B7">
      <w:pPr>
        <w:numPr>
          <w:ilvl w:val="0"/>
          <w:numId w:val="2"/>
        </w:numPr>
        <w:spacing w:after="200" w:line="276" w:lineRule="auto"/>
        <w:ind w:left="284" w:hanging="284"/>
        <w:contextualSpacing/>
        <w:jc w:val="both"/>
        <w:rPr>
          <w:rFonts w:ascii="Palatino Linotype" w:hAnsi="Palatino Linotype" w:cs="Tahoma"/>
        </w:rPr>
      </w:pPr>
      <w:r w:rsidRPr="006E72A3">
        <w:rPr>
          <w:rFonts w:ascii="Palatino Linotype" w:hAnsi="Palatino Linotype" w:cs="Tahoma"/>
        </w:rPr>
        <w:t xml:space="preserve">Životnost LCD panelu </w:t>
      </w:r>
      <w:r w:rsidR="002A7527">
        <w:rPr>
          <w:rFonts w:ascii="Palatino Linotype" w:hAnsi="Palatino Linotype" w:cs="Tahoma"/>
        </w:rPr>
        <w:t xml:space="preserve">minimálně </w:t>
      </w:r>
      <w:r w:rsidRPr="006E72A3">
        <w:rPr>
          <w:rFonts w:ascii="Palatino Linotype" w:hAnsi="Palatino Linotype" w:cs="Tahoma"/>
        </w:rPr>
        <w:t>50 000 hodin v provozu 24/7/365.</w:t>
      </w:r>
    </w:p>
    <w:p w:rsidR="00495D38" w:rsidP="00495D38" w:rsidRDefault="00495D38">
      <w:pPr>
        <w:numPr>
          <w:ilvl w:val="0"/>
          <w:numId w:val="2"/>
        </w:numPr>
        <w:spacing w:after="200" w:line="276" w:lineRule="auto"/>
        <w:ind w:left="284" w:hanging="284"/>
        <w:contextualSpacing/>
        <w:jc w:val="both"/>
        <w:rPr>
          <w:rFonts w:ascii="Palatino Linotype" w:hAnsi="Palatino Linotype" w:cs="Tahoma"/>
        </w:rPr>
      </w:pPr>
      <w:r>
        <w:rPr>
          <w:rFonts w:ascii="Palatino Linotype" w:hAnsi="Palatino Linotype" w:cs="Tahoma"/>
        </w:rPr>
        <w:t>S</w:t>
      </w:r>
      <w:r w:rsidRPr="00495D38">
        <w:rPr>
          <w:rFonts w:ascii="Palatino Linotype" w:hAnsi="Palatino Linotype" w:cs="Tahoma"/>
        </w:rPr>
        <w:t>vítivost min. 2000 nit</w:t>
      </w:r>
      <w:r>
        <w:rPr>
          <w:rFonts w:ascii="Palatino Linotype" w:hAnsi="Palatino Linotype" w:cs="Tahoma"/>
        </w:rPr>
        <w:t>.</w:t>
      </w:r>
    </w:p>
    <w:p w:rsidRPr="00A20EB6" w:rsidR="00A20EB6" w:rsidP="00A20EB6" w:rsidRDefault="00A20EB6">
      <w:pPr>
        <w:numPr>
          <w:ilvl w:val="0"/>
          <w:numId w:val="2"/>
        </w:numPr>
        <w:spacing w:after="200" w:line="276" w:lineRule="auto"/>
        <w:ind w:left="284" w:hanging="284"/>
        <w:contextualSpacing/>
        <w:jc w:val="both"/>
        <w:rPr>
          <w:rFonts w:ascii="Palatino Linotype" w:hAnsi="Palatino Linotype" w:cs="Tahoma"/>
        </w:rPr>
      </w:pPr>
      <w:r w:rsidRPr="00A20EB6">
        <w:rPr>
          <w:rFonts w:ascii="Palatino Linotype" w:hAnsi="Palatino Linotype" w:cs="Tahoma"/>
        </w:rPr>
        <w:t>Reakce na dotyk v zimním období i s k tomu vhodnými rukavicemi.</w:t>
      </w:r>
    </w:p>
    <w:p w:rsidRPr="00A20EB6" w:rsidR="00A20EB6" w:rsidP="00A20EB6" w:rsidRDefault="00A20EB6">
      <w:pPr>
        <w:numPr>
          <w:ilvl w:val="0"/>
          <w:numId w:val="2"/>
        </w:numPr>
        <w:spacing w:after="200" w:line="276" w:lineRule="auto"/>
        <w:ind w:left="284" w:hanging="284"/>
        <w:contextualSpacing/>
        <w:jc w:val="both"/>
        <w:rPr>
          <w:rFonts w:ascii="Palatino Linotype" w:hAnsi="Palatino Linotype" w:cs="Tahoma"/>
        </w:rPr>
      </w:pPr>
      <w:r w:rsidRPr="00A20EB6">
        <w:rPr>
          <w:rFonts w:ascii="Palatino Linotype" w:hAnsi="Palatino Linotype" w:cs="Tahoma"/>
        </w:rPr>
        <w:t>Automatická regulace jasu</w:t>
      </w:r>
      <w:r>
        <w:rPr>
          <w:rFonts w:ascii="Palatino Linotype" w:hAnsi="Palatino Linotype" w:cs="Tahoma"/>
        </w:rPr>
        <w:t>.</w:t>
      </w:r>
    </w:p>
    <w:p w:rsidR="00A20EB6" w:rsidP="00A20EB6" w:rsidRDefault="00A20EB6">
      <w:pPr>
        <w:spacing w:after="200" w:line="276" w:lineRule="auto"/>
        <w:ind w:left="284"/>
        <w:contextualSpacing/>
        <w:jc w:val="both"/>
        <w:rPr>
          <w:rFonts w:ascii="Palatino Linotype" w:hAnsi="Palatino Linotype" w:cs="Tahoma"/>
        </w:rPr>
      </w:pPr>
    </w:p>
    <w:p w:rsidRPr="006E72A3" w:rsidR="00EA56B7" w:rsidP="00495D38" w:rsidRDefault="00EA56B7">
      <w:pPr>
        <w:keepNext/>
        <w:outlineLvl w:val="1"/>
        <w:rPr>
          <w:rFonts w:ascii="Palatino Linotype" w:hAnsi="Palatino Linotype"/>
          <w:b/>
          <w:bCs/>
        </w:rPr>
      </w:pPr>
      <w:r w:rsidRPr="006E72A3">
        <w:rPr>
          <w:rFonts w:ascii="Palatino Linotype" w:hAnsi="Palatino Linotype"/>
          <w:b/>
          <w:bCs/>
        </w:rPr>
        <w:t>Vzduchotechnika</w:t>
      </w:r>
    </w:p>
    <w:p w:rsidRPr="006E72A3" w:rsidR="00EA56B7" w:rsidP="00495D38" w:rsidRDefault="00EA56B7">
      <w:pPr>
        <w:numPr>
          <w:ilvl w:val="0"/>
          <w:numId w:val="5"/>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HVAC – topení, větrání, chlazení</w:t>
      </w:r>
    </w:p>
    <w:p w:rsidRPr="006E72A3" w:rsidR="00EA56B7" w:rsidP="00495D38" w:rsidRDefault="00EA56B7">
      <w:pPr>
        <w:keepNext/>
        <w:outlineLvl w:val="1"/>
        <w:rPr>
          <w:rFonts w:ascii="Palatino Linotype" w:hAnsi="Palatino Linotype"/>
          <w:b/>
          <w:bCs/>
        </w:rPr>
      </w:pPr>
    </w:p>
    <w:p w:rsidRPr="006E72A3" w:rsidR="00EA56B7" w:rsidP="00495D38" w:rsidRDefault="00EA56B7">
      <w:pPr>
        <w:keepNext/>
        <w:outlineLvl w:val="1"/>
        <w:rPr>
          <w:rFonts w:ascii="Palatino Linotype" w:hAnsi="Palatino Linotype"/>
          <w:b/>
          <w:bCs/>
        </w:rPr>
      </w:pPr>
      <w:r w:rsidRPr="006E72A3">
        <w:rPr>
          <w:rFonts w:ascii="Palatino Linotype" w:hAnsi="Palatino Linotype"/>
          <w:b/>
          <w:bCs/>
        </w:rPr>
        <w:t>Požadavky na konfiguraci počítače</w:t>
      </w:r>
    </w:p>
    <w:p w:rsidRPr="006E72A3" w:rsidR="00EA56B7" w:rsidP="00495D38" w:rsidRDefault="00EA56B7">
      <w:pPr>
        <w:numPr>
          <w:ilvl w:val="0"/>
          <w:numId w:val="3"/>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 xml:space="preserve">Počítač v provedení pro 24 hodinový provoz. </w:t>
      </w:r>
    </w:p>
    <w:p w:rsidRPr="006E72A3" w:rsidR="00EA56B7" w:rsidP="00495D38" w:rsidRDefault="00EA56B7">
      <w:pPr>
        <w:numPr>
          <w:ilvl w:val="0"/>
          <w:numId w:val="3"/>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 xml:space="preserve">Připojení k internetu přes </w:t>
      </w:r>
      <w:proofErr w:type="spellStart"/>
      <w:r w:rsidRPr="006E72A3">
        <w:rPr>
          <w:rFonts w:ascii="Palatino Linotype" w:hAnsi="Palatino Linotype" w:cs="Tahoma"/>
        </w:rPr>
        <w:t>Ethernet</w:t>
      </w:r>
      <w:proofErr w:type="spellEnd"/>
      <w:r w:rsidR="00495D38">
        <w:rPr>
          <w:rFonts w:ascii="Palatino Linotype" w:hAnsi="Palatino Linotype" w:cs="Tahoma"/>
        </w:rPr>
        <w:t>.</w:t>
      </w:r>
    </w:p>
    <w:p w:rsidRPr="006E72A3" w:rsidR="00EA56B7" w:rsidP="00495D38" w:rsidRDefault="00EA56B7">
      <w:pPr>
        <w:numPr>
          <w:ilvl w:val="0"/>
          <w:numId w:val="3"/>
        </w:numPr>
        <w:spacing w:after="220" w:line="240" w:lineRule="auto"/>
        <w:ind w:left="284" w:hanging="284"/>
        <w:contextualSpacing/>
        <w:jc w:val="both"/>
        <w:rPr>
          <w:rFonts w:ascii="Palatino Linotype" w:hAnsi="Palatino Linotype" w:cs="Tahoma"/>
        </w:rPr>
      </w:pPr>
      <w:r w:rsidRPr="006E72A3">
        <w:rPr>
          <w:rFonts w:ascii="Palatino Linotype" w:hAnsi="Palatino Linotype" w:cs="Tahoma"/>
        </w:rPr>
        <w:t>Operační systém a hardware nutný pro plynulý provoz úřední desky</w:t>
      </w:r>
      <w:r w:rsidR="00495D38">
        <w:rPr>
          <w:rFonts w:ascii="Palatino Linotype" w:hAnsi="Palatino Linotype" w:cs="Tahoma"/>
        </w:rPr>
        <w:t>.</w:t>
      </w:r>
    </w:p>
    <w:p w:rsidRPr="006E72A3" w:rsidR="00EA56B7" w:rsidP="00495D38" w:rsidRDefault="00EA56B7">
      <w:pPr>
        <w:ind w:left="284" w:hanging="284"/>
        <w:contextualSpacing/>
        <w:rPr>
          <w:rFonts w:ascii="Palatino Linotype" w:hAnsi="Palatino Linotype" w:cs="Tahoma"/>
        </w:rPr>
      </w:pPr>
    </w:p>
    <w:p w:rsidRPr="006E72A3" w:rsidR="00EA56B7" w:rsidP="00EA56B7" w:rsidRDefault="00EA56B7">
      <w:pPr>
        <w:keepNext/>
        <w:outlineLvl w:val="1"/>
        <w:rPr>
          <w:rFonts w:ascii="Palatino Linotype" w:hAnsi="Palatino Linotype"/>
          <w:b/>
          <w:bCs/>
        </w:rPr>
      </w:pPr>
      <w:r w:rsidRPr="006E72A3">
        <w:rPr>
          <w:rFonts w:ascii="Palatino Linotype" w:hAnsi="Palatino Linotype"/>
          <w:b/>
          <w:bCs/>
        </w:rPr>
        <w:t>Software a správa</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Hlavní</w:t>
      </w:r>
      <w:r w:rsidRPr="006E72A3">
        <w:rPr>
          <w:rFonts w:ascii="Palatino Linotype" w:hAnsi="Palatino Linotype" w:cs="Tahoma"/>
          <w:spacing w:val="10"/>
        </w:rPr>
        <w:t xml:space="preserve"> </w:t>
      </w:r>
      <w:r w:rsidRPr="006E72A3">
        <w:rPr>
          <w:rFonts w:ascii="Palatino Linotype" w:hAnsi="Palatino Linotype" w:cs="Tahoma"/>
        </w:rPr>
        <w:t>aplikací</w:t>
      </w:r>
      <w:r w:rsidRPr="006E72A3">
        <w:rPr>
          <w:rFonts w:ascii="Palatino Linotype" w:hAnsi="Palatino Linotype" w:cs="Tahoma"/>
          <w:spacing w:val="10"/>
        </w:rPr>
        <w:t xml:space="preserve"> </w:t>
      </w:r>
      <w:r w:rsidRPr="006E72A3">
        <w:rPr>
          <w:rFonts w:ascii="Palatino Linotype" w:hAnsi="Palatino Linotype" w:cs="Tahoma"/>
        </w:rPr>
        <w:t>bude</w:t>
      </w:r>
      <w:r w:rsidRPr="006E72A3">
        <w:rPr>
          <w:rFonts w:ascii="Palatino Linotype" w:hAnsi="Palatino Linotype" w:cs="Tahoma"/>
          <w:spacing w:val="10"/>
        </w:rPr>
        <w:t xml:space="preserve"> </w:t>
      </w:r>
      <w:r w:rsidRPr="006E72A3">
        <w:rPr>
          <w:rFonts w:ascii="Palatino Linotype" w:hAnsi="Palatino Linotype" w:cs="Tahoma"/>
        </w:rPr>
        <w:t>zobrazovací</w:t>
      </w:r>
      <w:r w:rsidRPr="006E72A3">
        <w:rPr>
          <w:rFonts w:ascii="Palatino Linotype" w:hAnsi="Palatino Linotype" w:cs="Tahoma"/>
          <w:spacing w:val="18"/>
        </w:rPr>
        <w:t xml:space="preserve"> </w:t>
      </w:r>
      <w:r w:rsidRPr="006E72A3">
        <w:rPr>
          <w:rFonts w:ascii="Palatino Linotype" w:hAnsi="Palatino Linotype" w:cs="Tahoma"/>
        </w:rPr>
        <w:t>SW,</w:t>
      </w:r>
      <w:r w:rsidRPr="006E72A3">
        <w:rPr>
          <w:rFonts w:ascii="Palatino Linotype" w:hAnsi="Palatino Linotype" w:cs="Tahoma"/>
          <w:spacing w:val="16"/>
        </w:rPr>
        <w:t xml:space="preserve"> </w:t>
      </w:r>
      <w:r w:rsidRPr="006E72A3">
        <w:rPr>
          <w:rFonts w:ascii="Palatino Linotype" w:hAnsi="Palatino Linotype" w:cs="Tahoma"/>
        </w:rPr>
        <w:t>který</w:t>
      </w:r>
      <w:r w:rsidRPr="006E72A3">
        <w:rPr>
          <w:rFonts w:ascii="Palatino Linotype" w:hAnsi="Palatino Linotype" w:cs="Tahoma"/>
          <w:spacing w:val="16"/>
        </w:rPr>
        <w:t xml:space="preserve"> </w:t>
      </w:r>
      <w:r w:rsidRPr="006E72A3">
        <w:rPr>
          <w:rFonts w:ascii="Palatino Linotype" w:hAnsi="Palatino Linotype" w:cs="Tahoma"/>
        </w:rPr>
        <w:t>bude</w:t>
      </w:r>
      <w:r w:rsidRPr="006E72A3">
        <w:rPr>
          <w:rFonts w:ascii="Palatino Linotype" w:hAnsi="Palatino Linotype" w:cs="Tahoma"/>
          <w:spacing w:val="18"/>
        </w:rPr>
        <w:t xml:space="preserve"> </w:t>
      </w:r>
      <w:r w:rsidRPr="006E72A3">
        <w:rPr>
          <w:rFonts w:ascii="Palatino Linotype" w:hAnsi="Palatino Linotype" w:cs="Tahoma"/>
        </w:rPr>
        <w:t>mít</w:t>
      </w:r>
      <w:r w:rsidRPr="006E72A3">
        <w:rPr>
          <w:rFonts w:ascii="Palatino Linotype" w:hAnsi="Palatino Linotype" w:cs="Tahoma"/>
          <w:spacing w:val="18"/>
        </w:rPr>
        <w:t xml:space="preserve"> </w:t>
      </w:r>
      <w:r w:rsidRPr="006E72A3">
        <w:rPr>
          <w:rFonts w:ascii="Palatino Linotype" w:hAnsi="Palatino Linotype" w:cs="Tahoma"/>
        </w:rPr>
        <w:t>maximální</w:t>
      </w:r>
      <w:r w:rsidRPr="006E72A3">
        <w:rPr>
          <w:rFonts w:ascii="Palatino Linotype" w:hAnsi="Palatino Linotype" w:cs="Tahoma"/>
          <w:spacing w:val="16"/>
        </w:rPr>
        <w:t xml:space="preserve"> </w:t>
      </w:r>
      <w:r w:rsidRPr="006E72A3">
        <w:rPr>
          <w:rFonts w:ascii="Palatino Linotype" w:hAnsi="Palatino Linotype" w:cs="Tahoma"/>
        </w:rPr>
        <w:t>prioritu,</w:t>
      </w:r>
      <w:r w:rsidRPr="006E72A3">
        <w:rPr>
          <w:rFonts w:ascii="Palatino Linotype" w:hAnsi="Palatino Linotype" w:cs="Tahoma"/>
          <w:spacing w:val="14"/>
        </w:rPr>
        <w:t xml:space="preserve"> </w:t>
      </w:r>
      <w:r w:rsidRPr="006E72A3">
        <w:rPr>
          <w:rFonts w:ascii="Palatino Linotype" w:hAnsi="Palatino Linotype" w:cs="Tahoma"/>
        </w:rPr>
        <w:t>a</w:t>
      </w:r>
      <w:r w:rsidRPr="006E72A3">
        <w:rPr>
          <w:rFonts w:ascii="Palatino Linotype" w:hAnsi="Palatino Linotype" w:cs="Tahoma"/>
          <w:spacing w:val="17"/>
        </w:rPr>
        <w:t xml:space="preserve"> </w:t>
      </w:r>
      <w:r w:rsidRPr="006E72A3">
        <w:rPr>
          <w:rFonts w:ascii="Palatino Linotype" w:hAnsi="Palatino Linotype" w:cs="Tahoma"/>
        </w:rPr>
        <w:t>jeho</w:t>
      </w:r>
      <w:r w:rsidRPr="006E72A3">
        <w:rPr>
          <w:rFonts w:ascii="Palatino Linotype" w:hAnsi="Palatino Linotype" w:cs="Tahoma"/>
          <w:spacing w:val="18"/>
        </w:rPr>
        <w:t xml:space="preserve"> </w:t>
      </w:r>
      <w:r w:rsidRPr="006E72A3">
        <w:rPr>
          <w:rFonts w:ascii="Palatino Linotype" w:hAnsi="Palatino Linotype" w:cs="Tahoma"/>
        </w:rPr>
        <w:t>vypnutí nebo minimalizace</w:t>
      </w:r>
      <w:r w:rsidRPr="006E72A3">
        <w:rPr>
          <w:rFonts w:ascii="Palatino Linotype" w:hAnsi="Palatino Linotype" w:cs="Tahoma"/>
          <w:spacing w:val="18"/>
        </w:rPr>
        <w:t xml:space="preserve"> </w:t>
      </w:r>
      <w:r w:rsidRPr="006E72A3">
        <w:rPr>
          <w:rFonts w:ascii="Palatino Linotype" w:hAnsi="Palatino Linotype" w:cs="Tahoma"/>
        </w:rPr>
        <w:t>bude</w:t>
      </w:r>
      <w:r w:rsidRPr="006E72A3">
        <w:rPr>
          <w:rFonts w:ascii="Palatino Linotype" w:hAnsi="Palatino Linotype" w:cs="Tahoma"/>
          <w:spacing w:val="18"/>
        </w:rPr>
        <w:t xml:space="preserve"> </w:t>
      </w:r>
      <w:r w:rsidRPr="006E72A3">
        <w:rPr>
          <w:rFonts w:ascii="Palatino Linotype" w:hAnsi="Palatino Linotype" w:cs="Tahoma"/>
        </w:rPr>
        <w:t>speciálně</w:t>
      </w:r>
      <w:r w:rsidRPr="006E72A3">
        <w:rPr>
          <w:rFonts w:ascii="Palatino Linotype" w:hAnsi="Palatino Linotype" w:cs="Tahoma"/>
          <w:spacing w:val="67"/>
        </w:rPr>
        <w:t xml:space="preserve"> </w:t>
      </w:r>
      <w:r w:rsidRPr="006E72A3">
        <w:rPr>
          <w:rFonts w:ascii="Palatino Linotype" w:hAnsi="Palatino Linotype" w:cs="Tahoma"/>
        </w:rPr>
        <w:t>zabezpečena tak,</w:t>
      </w:r>
      <w:r w:rsidRPr="006E72A3">
        <w:rPr>
          <w:rFonts w:ascii="Palatino Linotype" w:hAnsi="Palatino Linotype" w:cs="Tahoma"/>
          <w:spacing w:val="-3"/>
        </w:rPr>
        <w:t xml:space="preserve"> </w:t>
      </w:r>
      <w:r w:rsidRPr="006E72A3">
        <w:rPr>
          <w:rFonts w:ascii="Palatino Linotype" w:hAnsi="Palatino Linotype" w:cs="Tahoma"/>
        </w:rPr>
        <w:t>aby</w:t>
      </w:r>
      <w:r w:rsidRPr="006E72A3">
        <w:rPr>
          <w:rFonts w:ascii="Palatino Linotype" w:hAnsi="Palatino Linotype" w:cs="Tahoma"/>
          <w:spacing w:val="-2"/>
        </w:rPr>
        <w:t xml:space="preserve"> </w:t>
      </w:r>
      <w:r w:rsidRPr="006E72A3">
        <w:rPr>
          <w:rFonts w:ascii="Palatino Linotype" w:hAnsi="Palatino Linotype" w:cs="Tahoma"/>
        </w:rPr>
        <w:t>se nedala provést přes veřejně přístupné (dotykové)</w:t>
      </w:r>
      <w:r w:rsidRPr="006E72A3">
        <w:rPr>
          <w:rFonts w:ascii="Palatino Linotype" w:hAnsi="Palatino Linotype" w:cs="Tahoma"/>
          <w:spacing w:val="-3"/>
        </w:rPr>
        <w:t xml:space="preserve"> rozhraní elektronické úřední desky</w:t>
      </w:r>
      <w:r w:rsidRPr="006E72A3">
        <w:rPr>
          <w:rFonts w:ascii="Palatino Linotype" w:hAnsi="Palatino Linotype" w:cs="Tahoma"/>
        </w:rPr>
        <w:t>.</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K zobrazení úřední desky na informačním kiosku bude použita webová úřední deska (</w:t>
      </w:r>
      <w:hyperlink w:history="true" r:id="rId8">
        <w:r w:rsidRPr="006E72A3">
          <w:rPr>
            <w:rFonts w:ascii="Palatino Linotype" w:hAnsi="Palatino Linotype" w:cs="Tahoma"/>
            <w:color w:val="0000FF"/>
            <w:u w:val="single"/>
          </w:rPr>
          <w:t>https://www.vitkov.info/mestsky-urad/uredni-deska/</w:t>
        </w:r>
      </w:hyperlink>
      <w:r w:rsidRPr="006E72A3">
        <w:rPr>
          <w:rFonts w:ascii="Palatino Linotype" w:hAnsi="Palatino Linotype" w:cs="Tahoma"/>
        </w:rPr>
        <w:t xml:space="preserve"> ) s upraveným vzhledem. Úpravu vzhledu pro kiosek provede dodavatel elektronické úřední desky.</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Dodavatel zajistí propojení s moduly stávající webové elektronické úřední desky.</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Správa obsahu elektronické úřední desky musí probíhat vzdáleně.</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Je nutné, aby prohlížeč umožňoval zobrazení i příloh (běžné soubory PDF, JPG, PNG, BMP, XLS, DOC, TXT, RTF). Úpravu vzhledu pro kiosek provede dodavatel elektronické úřední desky.</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lastRenderedPageBreak/>
        <w:t>Bude zabezpečeno,</w:t>
      </w:r>
      <w:r w:rsidRPr="006E72A3">
        <w:rPr>
          <w:rFonts w:ascii="Palatino Linotype" w:hAnsi="Palatino Linotype" w:cs="Tahoma"/>
          <w:spacing w:val="-2"/>
        </w:rPr>
        <w:t xml:space="preserve"> </w:t>
      </w:r>
      <w:r w:rsidRPr="006E72A3">
        <w:rPr>
          <w:rFonts w:ascii="Palatino Linotype" w:hAnsi="Palatino Linotype" w:cs="Tahoma"/>
        </w:rPr>
        <w:t>aby</w:t>
      </w:r>
      <w:r w:rsidRPr="006E72A3">
        <w:rPr>
          <w:rFonts w:ascii="Palatino Linotype" w:hAnsi="Palatino Linotype" w:cs="Tahoma"/>
          <w:spacing w:val="-2"/>
        </w:rPr>
        <w:t xml:space="preserve"> </w:t>
      </w:r>
      <w:r w:rsidRPr="006E72A3">
        <w:rPr>
          <w:rFonts w:ascii="Palatino Linotype" w:hAnsi="Palatino Linotype" w:cs="Tahoma"/>
        </w:rPr>
        <w:t>se</w:t>
      </w:r>
      <w:r w:rsidRPr="006E72A3">
        <w:rPr>
          <w:rFonts w:ascii="Palatino Linotype" w:hAnsi="Palatino Linotype" w:cs="Tahoma"/>
          <w:spacing w:val="1"/>
        </w:rPr>
        <w:t xml:space="preserve"> </w:t>
      </w:r>
      <w:r w:rsidRPr="006E72A3">
        <w:rPr>
          <w:rFonts w:ascii="Palatino Linotype" w:hAnsi="Palatino Linotype" w:cs="Tahoma"/>
        </w:rPr>
        <w:t>veřejnost nedostala</w:t>
      </w:r>
      <w:r w:rsidRPr="006E72A3">
        <w:rPr>
          <w:rFonts w:ascii="Palatino Linotype" w:hAnsi="Palatino Linotype" w:cs="Tahoma"/>
          <w:spacing w:val="-2"/>
        </w:rPr>
        <w:t xml:space="preserve"> </w:t>
      </w:r>
      <w:r w:rsidRPr="006E72A3">
        <w:rPr>
          <w:rFonts w:ascii="Palatino Linotype" w:hAnsi="Palatino Linotype" w:cs="Tahoma"/>
        </w:rPr>
        <w:t>na</w:t>
      </w:r>
      <w:r w:rsidRPr="006E72A3">
        <w:rPr>
          <w:rFonts w:ascii="Palatino Linotype" w:hAnsi="Palatino Linotype" w:cs="Tahoma"/>
          <w:spacing w:val="-2"/>
        </w:rPr>
        <w:t xml:space="preserve"> </w:t>
      </w:r>
      <w:r w:rsidRPr="006E72A3">
        <w:rPr>
          <w:rFonts w:ascii="Palatino Linotype" w:hAnsi="Palatino Linotype" w:cs="Tahoma"/>
        </w:rPr>
        <w:t>jiné než kupujícím</w:t>
      </w:r>
      <w:r w:rsidRPr="006E72A3">
        <w:rPr>
          <w:rFonts w:ascii="Palatino Linotype" w:hAnsi="Palatino Linotype" w:cs="Tahoma"/>
          <w:spacing w:val="-2"/>
        </w:rPr>
        <w:t xml:space="preserve"> </w:t>
      </w:r>
      <w:r w:rsidRPr="006E72A3">
        <w:rPr>
          <w:rFonts w:ascii="Palatino Linotype" w:hAnsi="Palatino Linotype" w:cs="Tahoma"/>
        </w:rPr>
        <w:t>povolené stránky (</w:t>
      </w:r>
      <w:proofErr w:type="spellStart"/>
      <w:r w:rsidRPr="006E72A3">
        <w:rPr>
          <w:rFonts w:ascii="Palatino Linotype" w:hAnsi="Palatino Linotype" w:cs="Tahoma"/>
        </w:rPr>
        <w:t>whitelist</w:t>
      </w:r>
      <w:proofErr w:type="spellEnd"/>
      <w:r w:rsidRPr="006E72A3">
        <w:rPr>
          <w:rFonts w:ascii="Palatino Linotype" w:hAnsi="Palatino Linotype" w:cs="Tahoma"/>
        </w:rPr>
        <w:t>).</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eastAsia="Verdana" w:cs="Verdana"/>
        </w:rPr>
        <w:t>Uživatel bude mít možnost přepnout do rozložení přizpůsobeného pro vozíčkáře.</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eastAsia="Verdana" w:cs="Verdana"/>
        </w:rPr>
        <w:t>Po delší době nečinnosti dojde k přepnutí do „úsporného“ zobrazení, kdy bude celý prostor obrazovky vyplněn polem pro zobrazování obrázků (plakátů). Při dotyku dojde k návratu na defaultní zobrazení.</w:t>
      </w:r>
    </w:p>
    <w:p w:rsidRPr="006E72A3" w:rsidR="00EA56B7" w:rsidP="00EA56B7" w:rsidRDefault="00363DB9">
      <w:pPr>
        <w:numPr>
          <w:ilvl w:val="0"/>
          <w:numId w:val="4"/>
        </w:numPr>
        <w:spacing w:after="220" w:line="240" w:lineRule="auto"/>
        <w:contextualSpacing/>
        <w:jc w:val="both"/>
        <w:rPr>
          <w:rFonts w:ascii="Palatino Linotype" w:hAnsi="Palatino Linotype" w:cs="Tahoma"/>
        </w:rPr>
      </w:pPr>
      <w:r>
        <w:rPr>
          <w:rFonts w:ascii="Palatino Linotype" w:hAnsi="Palatino Linotype" w:eastAsia="Verdana" w:cs="Verdana"/>
        </w:rPr>
        <w:t xml:space="preserve">Zadavatel </w:t>
      </w:r>
      <w:r w:rsidRPr="006E72A3" w:rsidR="00EA56B7">
        <w:rPr>
          <w:rFonts w:ascii="Palatino Linotype" w:hAnsi="Palatino Linotype" w:eastAsia="Verdana" w:cs="Verdana"/>
        </w:rPr>
        <w:t xml:space="preserve">(Město Vítkov) bude mít možnost administrace </w:t>
      </w:r>
      <w:proofErr w:type="spellStart"/>
      <w:r w:rsidRPr="006E72A3" w:rsidR="00EA56B7">
        <w:rPr>
          <w:rFonts w:ascii="Palatino Linotype" w:hAnsi="Palatino Linotype" w:eastAsia="Verdana" w:cs="Verdana"/>
        </w:rPr>
        <w:t>whitelistu</w:t>
      </w:r>
      <w:proofErr w:type="spellEnd"/>
      <w:r w:rsidRPr="006E72A3" w:rsidR="00EA56B7">
        <w:rPr>
          <w:rFonts w:ascii="Palatino Linotype" w:hAnsi="Palatino Linotype" w:eastAsia="Verdana" w:cs="Verdana"/>
        </w:rPr>
        <w:t xml:space="preserve"> (viz výše), obrázků (bannerů, plakátů), zdrojů RSS, statického textu v poli pro text, výchozích odkazů ve webovém prohlížeči, intervalů pro zobrazování obrázků, RSS a přechodu do „úsporného“ zobrazení.</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eastAsia="Verdana" w:cs="Verdana"/>
        </w:rPr>
        <w:t>Správa obrázků (případně videa) bude realizována prostřednictví</w:t>
      </w:r>
      <w:r>
        <w:rPr>
          <w:rFonts w:ascii="Palatino Linotype" w:hAnsi="Palatino Linotype" w:eastAsia="Verdana" w:cs="Verdana"/>
        </w:rPr>
        <w:t>m</w:t>
      </w:r>
      <w:r w:rsidRPr="006E72A3">
        <w:rPr>
          <w:rFonts w:ascii="Palatino Linotype" w:hAnsi="Palatino Linotype" w:eastAsia="Verdana" w:cs="Verdana"/>
        </w:rPr>
        <w:t xml:space="preserve"> webového rozhraní. Toto bude mít</w:t>
      </w:r>
      <w:r w:rsidRPr="006E72A3">
        <w:rPr>
          <w:rFonts w:ascii="Palatino Linotype" w:hAnsi="Palatino Linotype" w:cs="Tahoma"/>
        </w:rPr>
        <w:t xml:space="preserve"> </w:t>
      </w:r>
      <w:r w:rsidRPr="006E72A3">
        <w:rPr>
          <w:rFonts w:ascii="Palatino Linotype" w:hAnsi="Palatino Linotype" w:eastAsia="Verdana" w:cs="Verdana"/>
        </w:rPr>
        <w:t xml:space="preserve">publikační funkcionalitu – tedy možnost zadat data publikování </w:t>
      </w:r>
      <w:r w:rsidR="00DB6E1A">
        <w:rPr>
          <w:rFonts w:ascii="Palatino Linotype" w:hAnsi="Palatino Linotype" w:eastAsia="Verdana" w:cs="Verdana"/>
        </w:rPr>
        <w:t>OD a DO</w:t>
      </w:r>
      <w:r w:rsidRPr="006E72A3">
        <w:rPr>
          <w:rFonts w:ascii="Palatino Linotype" w:hAnsi="Palatino Linotype" w:eastAsia="Verdana" w:cs="Verdana"/>
        </w:rPr>
        <w:t>. Publikace pak bude probíhat automaticky podle zadaného data.</w:t>
      </w:r>
    </w:p>
    <w:p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Součástí bude SW pro vzdálenou správu a online monitorování, který sleduje neoprávněné vniknutí, chod LCD panelu, vzduchotechniky, počítače a zobrazovacího software a v případě problémů zasílá upozornění správcům elektronické úřední desky.</w:t>
      </w:r>
    </w:p>
    <w:p w:rsidRPr="00BD60AF" w:rsidR="00941990" w:rsidP="00EA56B7" w:rsidRDefault="00941990">
      <w:pPr>
        <w:numPr>
          <w:ilvl w:val="0"/>
          <w:numId w:val="4"/>
        </w:numPr>
        <w:spacing w:after="220" w:line="240" w:lineRule="auto"/>
        <w:contextualSpacing/>
        <w:jc w:val="both"/>
        <w:rPr>
          <w:rFonts w:ascii="Palatino Linotype" w:hAnsi="Palatino Linotype" w:cs="Tahoma"/>
        </w:rPr>
      </w:pPr>
      <w:r w:rsidRPr="00BD60AF">
        <w:rPr>
          <w:rFonts w:ascii="Palatino Linotype" w:hAnsi="Palatino Linotype" w:cs="Tahoma"/>
        </w:rPr>
        <w:t>Zadavatel požaduje trvalou licenci SW.</w:t>
      </w:r>
    </w:p>
    <w:p w:rsidRPr="006E72A3" w:rsidR="00EA56B7" w:rsidP="00EA56B7" w:rsidRDefault="00EA56B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Zadavatel nepřipouští v souvislosti s provozování</w:t>
      </w:r>
      <w:r>
        <w:rPr>
          <w:rFonts w:ascii="Palatino Linotype" w:hAnsi="Palatino Linotype" w:cs="Tahoma"/>
        </w:rPr>
        <w:t>m</w:t>
      </w:r>
      <w:r w:rsidRPr="006E72A3">
        <w:rPr>
          <w:rFonts w:ascii="Palatino Linotype" w:hAnsi="Palatino Linotype" w:cs="Tahoma"/>
        </w:rPr>
        <w:t xml:space="preserve"> elektronické úřední desky úhradu udržovacích nebo provozních poplatků např. za </w:t>
      </w:r>
      <w:r w:rsidR="00941990">
        <w:rPr>
          <w:rFonts w:ascii="Palatino Linotype" w:hAnsi="Palatino Linotype" w:cs="Tahoma"/>
        </w:rPr>
        <w:t xml:space="preserve">licence, </w:t>
      </w:r>
      <w:r w:rsidRPr="006E72A3">
        <w:rPr>
          <w:rFonts w:ascii="Palatino Linotype" w:hAnsi="Palatino Linotype" w:cs="Tahoma"/>
        </w:rPr>
        <w:t xml:space="preserve">správu, </w:t>
      </w:r>
      <w:proofErr w:type="spellStart"/>
      <w:r w:rsidRPr="006E72A3">
        <w:rPr>
          <w:rFonts w:ascii="Palatino Linotype" w:hAnsi="Palatino Linotype" w:cs="Tahoma"/>
        </w:rPr>
        <w:t>hosting</w:t>
      </w:r>
      <w:proofErr w:type="spellEnd"/>
      <w:r w:rsidRPr="006E72A3">
        <w:rPr>
          <w:rFonts w:ascii="Palatino Linotype" w:hAnsi="Palatino Linotype" w:cs="Tahoma"/>
        </w:rPr>
        <w:t>, atd.</w:t>
      </w:r>
    </w:p>
    <w:p w:rsidRPr="006E72A3" w:rsidR="00EA56B7" w:rsidP="00EA56B7" w:rsidRDefault="00EA56B7">
      <w:pPr>
        <w:keepNext/>
        <w:outlineLvl w:val="1"/>
        <w:rPr>
          <w:rFonts w:ascii="Palatino Linotype" w:hAnsi="Palatino Linotype"/>
          <w:b/>
          <w:bCs/>
        </w:rPr>
      </w:pPr>
    </w:p>
    <w:p w:rsidRPr="006E72A3" w:rsidR="00EA56B7" w:rsidP="00EA56B7" w:rsidRDefault="00EA56B7">
      <w:pPr>
        <w:keepNext/>
        <w:outlineLvl w:val="1"/>
        <w:rPr>
          <w:rFonts w:ascii="Palatino Linotype" w:hAnsi="Palatino Linotype"/>
          <w:b/>
          <w:bCs/>
        </w:rPr>
      </w:pPr>
      <w:r w:rsidRPr="006E72A3">
        <w:rPr>
          <w:rFonts w:ascii="Palatino Linotype" w:hAnsi="Palatino Linotype"/>
          <w:b/>
          <w:bCs/>
        </w:rPr>
        <w:t xml:space="preserve">Montáž a uvedení do provozu </w:t>
      </w:r>
    </w:p>
    <w:p w:rsidRPr="0043070D" w:rsidR="00EA56B7" w:rsidP="0043070D" w:rsidRDefault="00EA56B7">
      <w:pPr>
        <w:pStyle w:val="Odstavecseseznamem"/>
        <w:numPr>
          <w:ilvl w:val="0"/>
          <w:numId w:val="9"/>
        </w:numPr>
        <w:spacing w:after="0"/>
        <w:ind w:left="426" w:hanging="426"/>
        <w:rPr>
          <w:rFonts w:ascii="Palatino Linotype" w:hAnsi="Palatino Linotype" w:eastAsia="Calibri"/>
        </w:rPr>
      </w:pPr>
      <w:r w:rsidRPr="0043070D">
        <w:rPr>
          <w:rFonts w:ascii="Palatino Linotype" w:hAnsi="Palatino Linotype" w:eastAsia="Calibri"/>
        </w:rPr>
        <w:t>Montáž elektronické úřední desky před budovu městského úřadu a její uvedení do provozu.</w:t>
      </w:r>
    </w:p>
    <w:p w:rsidRPr="0043070D" w:rsidR="00EA56B7" w:rsidP="0043070D" w:rsidRDefault="00EA56B7">
      <w:pPr>
        <w:pStyle w:val="Odstavecseseznamem"/>
        <w:numPr>
          <w:ilvl w:val="0"/>
          <w:numId w:val="9"/>
        </w:numPr>
        <w:spacing w:after="0"/>
        <w:ind w:left="426" w:hanging="426"/>
        <w:rPr>
          <w:rFonts w:ascii="Palatino Linotype" w:hAnsi="Palatino Linotype" w:eastAsia="Calibri"/>
        </w:rPr>
      </w:pPr>
      <w:r w:rsidRPr="0043070D">
        <w:rPr>
          <w:rFonts w:ascii="Palatino Linotype" w:hAnsi="Palatino Linotype" w:eastAsia="Calibri"/>
        </w:rPr>
        <w:t>Zaškolení obsluhy</w:t>
      </w:r>
      <w:r w:rsidR="00DB6E1A">
        <w:rPr>
          <w:rFonts w:ascii="Palatino Linotype" w:hAnsi="Palatino Linotype" w:eastAsia="Calibri"/>
        </w:rPr>
        <w:t xml:space="preserve"> v potřebném rozsahu</w:t>
      </w:r>
      <w:bookmarkStart w:name="_GoBack" w:id="0"/>
      <w:bookmarkEnd w:id="0"/>
      <w:r w:rsidRPr="0043070D">
        <w:rPr>
          <w:rFonts w:ascii="Palatino Linotype" w:hAnsi="Palatino Linotype" w:eastAsia="Calibri"/>
        </w:rPr>
        <w:t>.</w:t>
      </w:r>
    </w:p>
    <w:p w:rsidR="00CA34BA" w:rsidP="00EA56B7" w:rsidRDefault="00CA34BA">
      <w:pPr>
        <w:keepNext/>
        <w:outlineLvl w:val="1"/>
        <w:rPr>
          <w:rFonts w:ascii="Palatino Linotype" w:hAnsi="Palatino Linotype"/>
          <w:b/>
          <w:bCs/>
        </w:rPr>
      </w:pPr>
    </w:p>
    <w:p w:rsidRPr="006E72A3" w:rsidR="00EA56B7" w:rsidP="00EA56B7" w:rsidRDefault="00EA56B7">
      <w:pPr>
        <w:keepNext/>
        <w:outlineLvl w:val="1"/>
        <w:rPr>
          <w:rFonts w:ascii="Palatino Linotype" w:hAnsi="Palatino Linotype"/>
          <w:b/>
          <w:bCs/>
        </w:rPr>
      </w:pPr>
      <w:r w:rsidRPr="006E72A3">
        <w:rPr>
          <w:rFonts w:ascii="Palatino Linotype" w:hAnsi="Palatino Linotype"/>
          <w:b/>
          <w:bCs/>
        </w:rPr>
        <w:t>Dokumentace</w:t>
      </w:r>
    </w:p>
    <w:p w:rsidRPr="006E72A3" w:rsidR="00EA56B7" w:rsidP="00495D38" w:rsidRDefault="00EA56B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k HW.</w:t>
      </w:r>
    </w:p>
    <w:p w:rsidRPr="006E72A3" w:rsidR="00EA56B7" w:rsidP="00495D38" w:rsidRDefault="00EA56B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k dodanému SW.</w:t>
      </w:r>
    </w:p>
    <w:p w:rsidRPr="006E72A3" w:rsidR="00EA56B7" w:rsidP="00495D38" w:rsidRDefault="00EA56B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kabeláží 230V včetně revizní zprávy.</w:t>
      </w:r>
    </w:p>
    <w:p w:rsidRPr="006E72A3" w:rsidR="00EA56B7" w:rsidP="00495D38" w:rsidRDefault="00EA56B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Servisní dokumentace – popis zapojení a nastavení HW a SW, bezpečnostních opatření.</w:t>
      </w:r>
    </w:p>
    <w:p w:rsidRPr="006E72A3" w:rsidR="00EA56B7" w:rsidP="00495D38" w:rsidRDefault="00EA56B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skutečného provedení.</w:t>
      </w:r>
    </w:p>
    <w:p w:rsidRPr="006E72A3" w:rsidR="00EA56B7" w:rsidP="00EA56B7" w:rsidRDefault="00EA56B7">
      <w:pPr>
        <w:rPr>
          <w:rFonts w:ascii="Palatino Linotype" w:hAnsi="Palatino Linotype"/>
          <w:b/>
        </w:rPr>
      </w:pPr>
    </w:p>
    <w:p w:rsidRPr="00BD60AF" w:rsidR="00EA56B7" w:rsidP="00EA56B7" w:rsidRDefault="00EA56B7">
      <w:pPr>
        <w:rPr>
          <w:rFonts w:ascii="Palatino Linotype" w:hAnsi="Palatino Linotype"/>
          <w:b/>
        </w:rPr>
      </w:pPr>
      <w:r w:rsidRPr="00BD60AF">
        <w:rPr>
          <w:rFonts w:ascii="Palatino Linotype" w:hAnsi="Palatino Linotype"/>
          <w:b/>
        </w:rPr>
        <w:t>Záruka</w:t>
      </w:r>
      <w:r w:rsidRPr="00BD60AF" w:rsidR="00222C58">
        <w:rPr>
          <w:rFonts w:ascii="Palatino Linotype" w:hAnsi="Palatino Linotype"/>
          <w:b/>
        </w:rPr>
        <w:t>, jakost, vady zboží</w:t>
      </w:r>
      <w:r w:rsidRPr="00BD60AF">
        <w:rPr>
          <w:rFonts w:ascii="Palatino Linotype" w:hAnsi="Palatino Linotype"/>
          <w:b/>
        </w:rPr>
        <w:t xml:space="preserve"> a servis</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Uchazeč je povinen dodat zboží v dohodnutém množství, jakosti a provedení. </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Zadavatel požaduje I. jakost dodaného zboží. Zboží musí být nové. </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Uchazeč zaručuje funkčnost zboží v režimu 24 hodin/ 7dnů v týdnu/ 365 dnů v roce.</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Zadavatel požaduje na zboží záruku za jakost v délce </w:t>
      </w:r>
      <w:r w:rsidRPr="00BD60AF">
        <w:rPr>
          <w:rFonts w:ascii="Palatino Linotype" w:hAnsi="Palatino Linotype" w:cs="Tahoma"/>
          <w:b/>
        </w:rPr>
        <w:t>60 měsíců</w:t>
      </w:r>
      <w:r w:rsidRPr="00BD60AF">
        <w:rPr>
          <w:rFonts w:ascii="Palatino Linotype" w:hAnsi="Palatino Linotype" w:cs="Tahoma"/>
        </w:rPr>
        <w:t>. Uchazeč je povinen zahájit veškeré odstraňování vad v případě nefunkčnosti 1 LCD panelu nejpozději do  24 hodin od okamžiku nahlášení této vady Zadavatelem a vadu odstranit nejpozději do 48 hodin od okamžiku nahlášení této vady Zadavatelem, v případě, že budou nefunkční oba dva LCD panely je však povinnost zahájit odstraňování vad nejpozději do 12 hodin od okamžiku nahlášení této vady Zadavatelem a vadu odstranit nejpozději do 24 hodin od okamžiku nahlášení této vady Zadavatelem.</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lastRenderedPageBreak/>
        <w:t>Záruční doba začíná běžet dnem předání zboží Zadavateli na základě předávacího protokolu. Záruční doba se staví po dobu, po kterou nemůže Zadavatel zboží řádně užívat pro vady, za které nese odpovědnost Uchazeč. Ode dne výměny vadného zboží počíná na vyměněné zboží běžet nová záruční doba.</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V případě výměny nebo opravy v servisním středisku Uchazeče nebo autorizovaném servisním středisku výrobce zabezpečí Uchazeč bezplatně dopravu vadného zboží od Zadavatele do servisu a dopravu opraveného nebo vyměněného zboží zpět k Zadavateli.</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Zadavatel poskytne pro plnění záručního servisu tuto nutnou součinnost: </w:t>
      </w:r>
    </w:p>
    <w:p w:rsidRPr="00BD60AF" w:rsidR="0097559C" w:rsidP="0097559C" w:rsidRDefault="0097559C">
      <w:pPr>
        <w:numPr>
          <w:ilvl w:val="0"/>
          <w:numId w:val="8"/>
        </w:numPr>
        <w:spacing w:after="220" w:line="240" w:lineRule="auto"/>
        <w:contextualSpacing/>
        <w:jc w:val="both"/>
        <w:rPr>
          <w:rFonts w:ascii="Palatino Linotype" w:hAnsi="Palatino Linotype" w:cs="Tahoma"/>
        </w:rPr>
      </w:pPr>
      <w:r w:rsidRPr="00BD60AF">
        <w:rPr>
          <w:rFonts w:ascii="Palatino Linotype" w:hAnsi="Palatino Linotype" w:cs="Tahoma"/>
        </w:rPr>
        <w:t xml:space="preserve">umožní provedení opravy v nejkratším možném čase, </w:t>
      </w:r>
    </w:p>
    <w:p w:rsidRPr="00BD60AF" w:rsidR="0097559C" w:rsidP="0097559C" w:rsidRDefault="0097559C">
      <w:pPr>
        <w:numPr>
          <w:ilvl w:val="0"/>
          <w:numId w:val="8"/>
        </w:numPr>
        <w:spacing w:after="220" w:line="240" w:lineRule="auto"/>
        <w:contextualSpacing/>
        <w:jc w:val="both"/>
        <w:rPr>
          <w:rFonts w:ascii="Palatino Linotype" w:hAnsi="Palatino Linotype" w:cs="Tahoma"/>
        </w:rPr>
      </w:pPr>
      <w:r w:rsidRPr="00BD60AF">
        <w:rPr>
          <w:rFonts w:ascii="Palatino Linotype" w:hAnsi="Palatino Linotype" w:cs="Tahoma"/>
        </w:rPr>
        <w:t>zajistí přítomnost pověřené osoby při servisním zásahu.</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Záruční servis bude prováděn bezplatně s výjimkou neoprávněných požadavků na záruční servis, např. v důsledku chyby obsluhy apod. </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Uchazeč uhradí škodu, která Zadavateli vznikla vadným plněním, v plné výši. Uchazeč rovněž Zadavateli uhradí náklady vzniklé při uplatňování práv z odpovědnosti za vady.</w:t>
      </w:r>
    </w:p>
    <w:p w:rsidRPr="00BD60AF" w:rsidR="0097559C" w:rsidP="0097559C" w:rsidRDefault="0097559C">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Nebezpečí škody na zboží přechází na Zadavatele okamžikem převzetí zboží.</w:t>
      </w:r>
    </w:p>
    <w:p w:rsidRPr="00BD60AF" w:rsidR="0097559C" w:rsidP="00EA56B7" w:rsidRDefault="0097559C">
      <w:pPr>
        <w:rPr>
          <w:rFonts w:ascii="Palatino Linotype" w:hAnsi="Palatino Linotype"/>
          <w:b/>
        </w:rPr>
      </w:pPr>
    </w:p>
    <w:sectPr w:rsidRPr="00BD60AF" w:rsidR="009755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D31C6A" w:rsidP="00EA56B7" w:rsidRDefault="00D31C6A">
      <w:pPr>
        <w:spacing w:after="0" w:line="240" w:lineRule="auto"/>
      </w:pPr>
      <w:r>
        <w:separator/>
      </w:r>
    </w:p>
  </w:endnote>
  <w:endnote w:type="continuationSeparator" w:id="0">
    <w:p w:rsidR="00D31C6A" w:rsidP="00EA56B7" w:rsidRDefault="00D31C6A">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76518978"/>
      <w:docPartObj>
        <w:docPartGallery w:val="Page Numbers (Bottom of Page)"/>
        <w:docPartUnique/>
      </w:docPartObj>
    </w:sdtPr>
    <w:sdtEndPr/>
    <w:sdtContent>
      <w:p w:rsidR="00CA34BA" w:rsidRDefault="00CA34BA">
        <w:pPr>
          <w:pStyle w:val="Zpat"/>
          <w:jc w:val="right"/>
        </w:pPr>
        <w:r>
          <w:fldChar w:fldCharType="begin"/>
        </w:r>
        <w:r>
          <w:instrText>PAGE   \* MERGEFORMAT</w:instrText>
        </w:r>
        <w:r>
          <w:fldChar w:fldCharType="separate"/>
        </w:r>
        <w:r w:rsidR="00DB6E1A">
          <w:rPr>
            <w:noProof/>
          </w:rPr>
          <w:t>4</w:t>
        </w:r>
        <w:r>
          <w:fldChar w:fldCharType="end"/>
        </w:r>
      </w:p>
    </w:sdtContent>
  </w:sdt>
  <w:p w:rsidR="00CA34BA" w:rsidRDefault="00CA34BA">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D31C6A" w:rsidP="00EA56B7" w:rsidRDefault="00D31C6A">
      <w:pPr>
        <w:spacing w:after="0" w:line="240" w:lineRule="auto"/>
      </w:pPr>
      <w:r>
        <w:separator/>
      </w:r>
    </w:p>
  </w:footnote>
  <w:footnote w:type="continuationSeparator" w:id="0">
    <w:p w:rsidR="00D31C6A" w:rsidP="00EA56B7" w:rsidRDefault="00D31C6A">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EA56B7" w:rsidR="00EA56B7" w:rsidP="00EA56B7" w:rsidRDefault="00EA56B7">
    <w:pPr>
      <w:pStyle w:val="Zhlav"/>
      <w:jc w:val="right"/>
      <w:rPr>
        <w:rFonts w:ascii="Palatino Linotype" w:hAnsi="Palatino Linotype"/>
      </w:rPr>
    </w:pPr>
    <w:r w:rsidRPr="00EA56B7">
      <w:rPr>
        <w:rFonts w:ascii="Palatino Linotype" w:hAnsi="Palatino Linotype"/>
      </w:rPr>
      <w:t>Příloha č. 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B823C1F"/>
    <w:multiLevelType w:val="hybridMultilevel"/>
    <w:tmpl w:val="5094A828"/>
    <w:lvl w:ilvl="0" w:tplc="FFFFFFFF">
      <w:start w:val="1"/>
      <w:numFmt w:val="bullet"/>
      <w:lvlText w:val="-"/>
      <w:lvlJc w:val="left"/>
      <w:pPr>
        <w:ind w:left="720" w:hanging="360"/>
      </w:pPr>
      <w:rPr>
        <w:rFonts w:hint="default" w:ascii="Verdana" w:hAnsi="Verdan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324659F2"/>
    <w:multiLevelType w:val="hybridMultilevel"/>
    <w:tmpl w:val="3378EEB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363C49C2"/>
    <w:multiLevelType w:val="hybridMultilevel"/>
    <w:tmpl w:val="C18EF01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379D2E96"/>
    <w:multiLevelType w:val="hybridMultilevel"/>
    <w:tmpl w:val="EAE2A7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3BB31247"/>
    <w:multiLevelType w:val="hybridMultilevel"/>
    <w:tmpl w:val="CF22D9B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D0108CD"/>
    <w:multiLevelType w:val="multilevel"/>
    <w:tmpl w:val="BEEA982E"/>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hint="default" w:ascii="Verdana" w:hAnsi="Verdana"/>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6">
    <w:nsid w:val="49F45163"/>
    <w:multiLevelType w:val="hybridMultilevel"/>
    <w:tmpl w:val="58983E56"/>
    <w:lvl w:ilvl="0" w:tplc="04050001">
      <w:start w:val="1"/>
      <w:numFmt w:val="bullet"/>
      <w:lvlText w:val=""/>
      <w:lvlJc w:val="left"/>
      <w:pPr>
        <w:ind w:left="720" w:hanging="360"/>
      </w:pPr>
      <w:rPr>
        <w:rFonts w:hint="default" w:ascii="Symbol" w:hAnsi="Symbol"/>
      </w:rPr>
    </w:lvl>
    <w:lvl w:ilvl="1" w:tplc="D4B0FABC">
      <w:numFmt w:val="bullet"/>
      <w:lvlText w:val="-"/>
      <w:lvlJc w:val="left"/>
      <w:pPr>
        <w:ind w:left="1440" w:hanging="360"/>
      </w:pPr>
      <w:rPr>
        <w:rFonts w:hint="default" w:ascii="Calibri" w:hAnsi="Calibri" w:eastAsia="Calibri" w:cs="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63335626"/>
    <w:multiLevelType w:val="hybridMultilevel"/>
    <w:tmpl w:val="7590A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69AE7B4E"/>
    <w:multiLevelType w:val="hybridMultilevel"/>
    <w:tmpl w:val="6EAC4E14"/>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2"/>
  </w:num>
  <w:num w:numId="4">
    <w:abstractNumId w:val="8"/>
  </w:num>
  <w:num w:numId="5">
    <w:abstractNumId w:val="4"/>
  </w:num>
  <w:num w:numId="6">
    <w:abstractNumId w:val="7"/>
  </w:num>
  <w:num w:numId="7">
    <w:abstractNumId w:val="5"/>
  </w:num>
  <w:num w:numId="8">
    <w:abstractNumId w:val="0"/>
  </w:num>
  <w:num w:numId="9">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B7"/>
    <w:rsid w:val="00085B4C"/>
    <w:rsid w:val="001B1B4B"/>
    <w:rsid w:val="00222C58"/>
    <w:rsid w:val="00225315"/>
    <w:rsid w:val="00241867"/>
    <w:rsid w:val="002A7527"/>
    <w:rsid w:val="002B1132"/>
    <w:rsid w:val="00322DD7"/>
    <w:rsid w:val="00330370"/>
    <w:rsid w:val="00363DB9"/>
    <w:rsid w:val="003A18B7"/>
    <w:rsid w:val="0043070D"/>
    <w:rsid w:val="00481685"/>
    <w:rsid w:val="00495D38"/>
    <w:rsid w:val="004A5C04"/>
    <w:rsid w:val="004B46CC"/>
    <w:rsid w:val="004F38AC"/>
    <w:rsid w:val="00612BF8"/>
    <w:rsid w:val="00724B2F"/>
    <w:rsid w:val="008061DD"/>
    <w:rsid w:val="008B4BC3"/>
    <w:rsid w:val="00941990"/>
    <w:rsid w:val="0097559C"/>
    <w:rsid w:val="009F044A"/>
    <w:rsid w:val="00A20EB6"/>
    <w:rsid w:val="00A66D08"/>
    <w:rsid w:val="00BD60AF"/>
    <w:rsid w:val="00CA34BA"/>
    <w:rsid w:val="00CC3812"/>
    <w:rsid w:val="00D20615"/>
    <w:rsid w:val="00D31C6A"/>
    <w:rsid w:val="00D826A4"/>
    <w:rsid w:val="00DB6E1A"/>
    <w:rsid w:val="00EA56B7"/>
    <w:rsid w:val="00FB4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227B9ACD-B7CE-4877-967A-61DE9DFD789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A56B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A56B7"/>
  </w:style>
  <w:style w:type="paragraph" w:styleId="Zpat">
    <w:name w:val="footer"/>
    <w:basedOn w:val="Normln"/>
    <w:link w:val="ZpatChar"/>
    <w:uiPriority w:val="99"/>
    <w:unhideWhenUsed/>
    <w:rsid w:val="00EA56B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A56B7"/>
  </w:style>
  <w:style w:type="character" w:styleId="Odkaznakoment">
    <w:name w:val="annotation reference"/>
    <w:uiPriority w:val="99"/>
    <w:semiHidden/>
    <w:unhideWhenUsed/>
    <w:rsid w:val="00EA56B7"/>
    <w:rPr>
      <w:sz w:val="16"/>
      <w:szCs w:val="16"/>
    </w:rPr>
  </w:style>
  <w:style w:type="paragraph" w:styleId="Textkomente">
    <w:name w:val="annotation text"/>
    <w:basedOn w:val="Normln"/>
    <w:link w:val="TextkomenteChar"/>
    <w:uiPriority w:val="99"/>
    <w:semiHidden/>
    <w:unhideWhenUsed/>
    <w:rsid w:val="00EA56B7"/>
    <w:pPr>
      <w:spacing w:after="0" w:line="240" w:lineRule="auto"/>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semiHidden/>
    <w:rsid w:val="00EA56B7"/>
    <w:rPr>
      <w:rFonts w:ascii="Times New Roman" w:hAnsi="Times New Roman" w:eastAsia="Times New Roman" w:cs="Times New Roman"/>
      <w:sz w:val="20"/>
      <w:szCs w:val="20"/>
      <w:lang w:eastAsia="cs-CZ"/>
    </w:rPr>
  </w:style>
  <w:style w:type="paragraph" w:styleId="Textbubliny">
    <w:name w:val="Balloon Text"/>
    <w:basedOn w:val="Normln"/>
    <w:link w:val="TextbublinyChar"/>
    <w:uiPriority w:val="99"/>
    <w:semiHidden/>
    <w:unhideWhenUsed/>
    <w:rsid w:val="00EA56B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A56B7"/>
    <w:rPr>
      <w:rFonts w:ascii="Segoe UI" w:hAnsi="Segoe UI" w:cs="Segoe UI"/>
      <w:sz w:val="18"/>
      <w:szCs w:val="18"/>
    </w:rPr>
  </w:style>
  <w:style w:type="paragraph" w:styleId="Odstavecseseznamem">
    <w:name w:val="List Paragraph"/>
    <w:basedOn w:val="Normln"/>
    <w:uiPriority w:val="34"/>
    <w:qFormat/>
    <w:rsid w:val="00495D38"/>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s://www.vitkov.info/mestsky-urad/uredni-deska/" Type="http://schemas.openxmlformats.org/officeDocument/2006/relationships/hyperlink" Id="rId8"/>
    <Relationship Target="settings.xml" Type="http://schemas.openxmlformats.org/officeDocument/2006/relationships/settings" Id="rId3"/>
    <Relationship TargetMode="External" Target="https://www.vitkov.info/mestsky-urad/uredni-deska/"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4</properties:Pages>
  <properties:Words>1059</properties:Words>
  <properties:Characters>6253</properties:Characters>
  <properties:Lines>52</properties:Lines>
  <properties:Paragraphs>14</properties:Paragraphs>
  <properties:TotalTime>164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2020-10-07T07:25:00Z</dcterms:created>
  <dc:creator/>
  <dc:description/>
  <cp:keywords/>
  <cp:lastModifiedBy/>
  <dcterms:modified xmlns:xsi="http://www.w3.org/2001/XMLSchema-instance" xsi:type="dcterms:W3CDTF">2020-11-04T16:06:00Z</dcterms:modified>
  <cp:revision>30</cp:revision>
  <dc:subject/>
  <dc:title/>
</cp:coreProperties>
</file>