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31217A" w:rsidP="00EE0A45" w:rsidRDefault="0031217A">
      <w:pPr>
        <w:rPr>
          <w:rFonts w:cstheme="minorHAnsi"/>
          <w:szCs w:val="22"/>
        </w:rPr>
      </w:pPr>
      <w:bookmarkStart w:name="_GoBack" w:id="0"/>
      <w:bookmarkEnd w:id="0"/>
    </w:p>
    <w:p w:rsidRPr="00836E76" w:rsidR="0031217A" w:rsidP="0031217A" w:rsidRDefault="0031217A">
      <w:pPr>
        <w:pStyle w:val="1nadpis"/>
      </w:pPr>
      <w:r w:rsidRPr="00836E76">
        <w:t xml:space="preserve">Výchozí stav ICT </w:t>
      </w:r>
      <w:r>
        <w:t>města Nový Bydžov</w:t>
      </w:r>
    </w:p>
    <w:p w:rsidRPr="00EE0A45" w:rsidR="00CD2BEC" w:rsidP="00EE0A45" w:rsidRDefault="00CD2BEC">
      <w:pPr>
        <w:rPr>
          <w:rFonts w:cstheme="minorHAnsi"/>
          <w:szCs w:val="22"/>
        </w:rPr>
      </w:pPr>
      <w:r w:rsidRPr="00EE0A45">
        <w:rPr>
          <w:rFonts w:cstheme="minorHAnsi"/>
          <w:szCs w:val="22"/>
        </w:rPr>
        <w:t xml:space="preserve">Zhodnocení výchozího stavu technické infrastruktury </w:t>
      </w:r>
      <w:r w:rsidRPr="00EE0A45" w:rsidR="0078740E">
        <w:rPr>
          <w:rFonts w:cstheme="minorHAnsi"/>
          <w:szCs w:val="22"/>
        </w:rPr>
        <w:t xml:space="preserve">Městského úřadu Nový Bydžov </w:t>
      </w:r>
      <w:r w:rsidRPr="00EE0A45">
        <w:rPr>
          <w:rFonts w:cstheme="minorHAnsi"/>
          <w:szCs w:val="22"/>
        </w:rPr>
        <w:t>je níže popsáno ze dvou pohledů:</w:t>
      </w:r>
    </w:p>
    <w:p w:rsidRPr="00EE0A45" w:rsidR="00CD2BEC" w:rsidP="00EE0A45" w:rsidRDefault="00CD2BEC">
      <w:pPr>
        <w:rPr>
          <w:rFonts w:cstheme="minorHAnsi"/>
          <w:szCs w:val="22"/>
        </w:rPr>
      </w:pPr>
      <w:r w:rsidRPr="00EE0A45">
        <w:rPr>
          <w:rFonts w:cstheme="minorHAnsi"/>
          <w:szCs w:val="22"/>
        </w:rPr>
        <w:t>Hardwarová infrastruktura</w:t>
      </w:r>
      <w:r w:rsidRPr="00EE0A45" w:rsidR="00EE0A45">
        <w:rPr>
          <w:rFonts w:cstheme="minorHAnsi"/>
          <w:szCs w:val="22"/>
        </w:rPr>
        <w:t xml:space="preserve"> a </w:t>
      </w:r>
      <w:r w:rsidRPr="00EE0A45">
        <w:rPr>
          <w:rFonts w:cstheme="minorHAnsi"/>
          <w:szCs w:val="22"/>
        </w:rPr>
        <w:t>Softwarová infrastruktura – aktuálně využívané informační systémy</w:t>
      </w:r>
      <w:r w:rsidRPr="00EE0A45" w:rsidR="00EE0A45">
        <w:rPr>
          <w:rFonts w:cstheme="minorHAnsi"/>
          <w:szCs w:val="22"/>
        </w:rPr>
        <w:t>.</w:t>
      </w:r>
    </w:p>
    <w:p w:rsidRPr="00EE0A45" w:rsidR="00CD2BEC" w:rsidP="00EE0A45" w:rsidRDefault="00CD2BEC">
      <w:pPr>
        <w:rPr>
          <w:rFonts w:cstheme="minorHAnsi"/>
          <w:b/>
          <w:szCs w:val="22"/>
        </w:rPr>
      </w:pPr>
      <w:r w:rsidRPr="00EE0A45">
        <w:rPr>
          <w:rFonts w:cstheme="minorHAnsi"/>
          <w:szCs w:val="22"/>
        </w:rPr>
        <w:t xml:space="preserve">Jednotlivé budovy </w:t>
      </w:r>
      <w:r w:rsidRPr="00EE0A45" w:rsidR="0078740E">
        <w:rPr>
          <w:rFonts w:cstheme="minorHAnsi"/>
          <w:szCs w:val="22"/>
        </w:rPr>
        <w:t xml:space="preserve">městského úřadu </w:t>
      </w:r>
      <w:r w:rsidRPr="00EE0A45">
        <w:rPr>
          <w:rFonts w:cstheme="minorHAnsi"/>
          <w:szCs w:val="22"/>
        </w:rPr>
        <w:t>jsou vzájemně propojeny optickými spoji.</w:t>
      </w:r>
    </w:p>
    <w:p w:rsidRPr="0031217A" w:rsidR="00CC227F" w:rsidP="0031217A" w:rsidRDefault="008E0878">
      <w:pPr>
        <w:pStyle w:val="2nadpis"/>
      </w:pPr>
      <w:r w:rsidRPr="0031217A">
        <w:t>Hardwarová infrastruktura</w:t>
      </w:r>
    </w:p>
    <w:p w:rsidRPr="0031217A" w:rsidR="0031217A" w:rsidP="00EE0A45" w:rsidRDefault="008E0878">
      <w:pPr>
        <w:rPr>
          <w:rFonts w:cstheme="minorHAnsi"/>
          <w:szCs w:val="22"/>
        </w:rPr>
      </w:pPr>
      <w:r w:rsidRPr="00EE0A45">
        <w:rPr>
          <w:rFonts w:cstheme="minorHAnsi"/>
          <w:szCs w:val="22"/>
        </w:rPr>
        <w:t>Na následující</w:t>
      </w:r>
      <w:r w:rsidRPr="00EE0A45" w:rsidR="003E144D">
        <w:rPr>
          <w:rFonts w:cstheme="minorHAnsi"/>
          <w:szCs w:val="22"/>
        </w:rPr>
        <w:t>ch</w:t>
      </w:r>
      <w:r w:rsidRPr="00EE0A45">
        <w:rPr>
          <w:rFonts w:cstheme="minorHAnsi"/>
          <w:szCs w:val="22"/>
        </w:rPr>
        <w:t xml:space="preserve"> schémat</w:t>
      </w:r>
      <w:r w:rsidRPr="00EE0A45" w:rsidR="003E144D">
        <w:rPr>
          <w:rFonts w:cstheme="minorHAnsi"/>
          <w:szCs w:val="22"/>
        </w:rPr>
        <w:t xml:space="preserve">ech </w:t>
      </w:r>
      <w:r w:rsidRPr="00EE0A45">
        <w:rPr>
          <w:rFonts w:cstheme="minorHAnsi"/>
          <w:szCs w:val="22"/>
        </w:rPr>
        <w:t xml:space="preserve">je blokově znázorněn </w:t>
      </w:r>
      <w:r w:rsidRPr="00EE0A45" w:rsidR="00CC227F">
        <w:rPr>
          <w:rFonts w:cstheme="minorHAnsi"/>
          <w:szCs w:val="22"/>
        </w:rPr>
        <w:t>výchozí stav WH ICT města Nový Bydžov</w:t>
      </w:r>
      <w:r w:rsidRPr="00EE0A45" w:rsidR="003E144D">
        <w:rPr>
          <w:rFonts w:cstheme="minorHAnsi"/>
          <w:szCs w:val="22"/>
        </w:rPr>
        <w:t>, respektive Technologického centra ORP Nový Bydžov (TC ORP).</w:t>
      </w:r>
      <w:r w:rsidRPr="00EE0A45">
        <w:rPr>
          <w:rFonts w:cstheme="minorHAnsi"/>
          <w:szCs w:val="22"/>
        </w:rPr>
        <w:t xml:space="preserve"> </w:t>
      </w:r>
    </w:p>
    <w:p w:rsidRPr="00EE0A45" w:rsidR="0031217A" w:rsidP="0031217A" w:rsidRDefault="0031217A">
      <w:pPr>
        <w:pStyle w:val="odstavec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>V těchto lokalitách jsou instalovány tyto stěžejní prvky:</w:t>
      </w:r>
    </w:p>
    <w:p w:rsidRPr="0031217A" w:rsidR="0031217A" w:rsidP="0031217A" w:rsidRDefault="0031217A">
      <w:pPr>
        <w:pStyle w:val="odstavec"/>
        <w:keepNext/>
        <w:rPr>
          <w:rFonts w:asciiTheme="minorHAnsi" w:hAnsiTheme="minorHAnsi" w:cstheme="minorHAnsi"/>
          <w:b/>
          <w:sz w:val="22"/>
          <w:szCs w:val="22"/>
        </w:rPr>
      </w:pPr>
      <w:r w:rsidRPr="0031217A">
        <w:rPr>
          <w:rFonts w:asciiTheme="minorHAnsi" w:hAnsiTheme="minorHAnsi" w:cstheme="minorHAnsi"/>
          <w:b/>
          <w:sz w:val="22"/>
          <w:szCs w:val="22"/>
        </w:rPr>
        <w:t>HW</w:t>
      </w:r>
    </w:p>
    <w:p w:rsidRPr="00EE0A45" w:rsidR="0031217A" w:rsidP="0031217A" w:rsidRDefault="0031217A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>Servery</w:t>
      </w:r>
    </w:p>
    <w:p w:rsidRPr="00EE0A45" w:rsidR="0031217A" w:rsidP="0031217A" w:rsidRDefault="0031217A">
      <w:pPr>
        <w:pStyle w:val="Odstavecseseznamem"/>
        <w:autoSpaceDE w:val="false"/>
        <w:autoSpaceDN w:val="false"/>
        <w:adjustRightInd w:val="false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2x server DELL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PowerEdge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R640,</w:t>
      </w:r>
    </w:p>
    <w:p w:rsidRPr="00EE0A45" w:rsidR="0031217A" w:rsidP="0031217A" w:rsidRDefault="0031217A">
      <w:pPr>
        <w:pStyle w:val="Odstavecseseznamem"/>
        <w:autoSpaceDE w:val="false"/>
        <w:autoSpaceDN w:val="false"/>
        <w:adjustRightInd w:val="false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>1x server IBM 3550M4.</w:t>
      </w:r>
    </w:p>
    <w:p w:rsidRPr="00EE0A45" w:rsidR="0031217A" w:rsidP="0031217A" w:rsidRDefault="0031217A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line="360" w:lineRule="auto"/>
        <w:ind w:left="720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SAN infrastruktura –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core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switch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(páteřní spoje mezi lokalitami 8Gb)</w:t>
      </w:r>
    </w:p>
    <w:p w:rsidRPr="00EE0A45" w:rsidR="0031217A" w:rsidP="0031217A" w:rsidRDefault="0031217A">
      <w:pPr>
        <w:pStyle w:val="Odstavecseseznamem"/>
        <w:numPr>
          <w:ilvl w:val="1"/>
          <w:numId w:val="3"/>
        </w:numPr>
        <w:autoSpaceDE w:val="false"/>
        <w:autoSpaceDN w:val="false"/>
        <w:adjustRightInd w:val="false"/>
        <w:spacing w:line="360" w:lineRule="auto"/>
        <w:ind w:left="1440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>2x IBM 2498-B24 SAN 8Gb.</w:t>
      </w:r>
    </w:p>
    <w:p w:rsidRPr="00EE0A45" w:rsidR="0031217A" w:rsidP="0031217A" w:rsidRDefault="0031217A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line="360" w:lineRule="auto"/>
        <w:ind w:left="720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LAN infrastruktura –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core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switch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(páteřní spoje mezi lokalitami 1Gb)</w:t>
      </w:r>
    </w:p>
    <w:p w:rsidRPr="00EE0A45" w:rsidR="0031217A" w:rsidP="0031217A" w:rsidRDefault="0031217A">
      <w:pPr>
        <w:pStyle w:val="Odstavecseseznamem"/>
        <w:autoSpaceDE w:val="false"/>
        <w:autoSpaceDN w:val="false"/>
        <w:adjustRightInd w:val="false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2x HPE 5500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switch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EE0A45" w:rsidR="0031217A" w:rsidP="0031217A" w:rsidRDefault="0031217A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line="360" w:lineRule="auto"/>
        <w:ind w:left="720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>Diskové subsystémy</w:t>
      </w:r>
    </w:p>
    <w:p w:rsidRPr="00EE0A45" w:rsidR="0031217A" w:rsidP="0031217A" w:rsidRDefault="0031217A">
      <w:pPr>
        <w:pStyle w:val="Odstavecseseznamem"/>
        <w:numPr>
          <w:ilvl w:val="1"/>
          <w:numId w:val="3"/>
        </w:numPr>
        <w:autoSpaceDE w:val="false"/>
        <w:autoSpaceDN w:val="false"/>
        <w:adjustRightInd w:val="false"/>
        <w:spacing w:line="360" w:lineRule="auto"/>
        <w:ind w:left="1440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1x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Storwize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V3700,</w:t>
      </w:r>
    </w:p>
    <w:p w:rsidRPr="00EE0A45" w:rsidR="0031217A" w:rsidP="0031217A" w:rsidRDefault="0031217A">
      <w:pPr>
        <w:pStyle w:val="Odstavecseseznamem"/>
        <w:numPr>
          <w:ilvl w:val="1"/>
          <w:numId w:val="3"/>
        </w:numPr>
        <w:autoSpaceDE w:val="false"/>
        <w:autoSpaceDN w:val="false"/>
        <w:adjustRightInd w:val="false"/>
        <w:spacing w:line="360" w:lineRule="auto"/>
        <w:ind w:left="1440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1x DELL R540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PowerEdge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– zálohování,</w:t>
      </w:r>
    </w:p>
    <w:p w:rsidRPr="00EE0A45" w:rsidR="0031217A" w:rsidP="0031217A" w:rsidRDefault="0031217A">
      <w:pPr>
        <w:pStyle w:val="Odstavecseseznamem"/>
        <w:numPr>
          <w:ilvl w:val="1"/>
          <w:numId w:val="3"/>
        </w:numPr>
        <w:autoSpaceDE w:val="false"/>
        <w:autoSpaceDN w:val="false"/>
        <w:adjustRightInd w:val="false"/>
        <w:spacing w:line="360" w:lineRule="auto"/>
        <w:ind w:left="1440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1x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Synology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DS1819+ –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backup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>.</w:t>
      </w:r>
    </w:p>
    <w:p w:rsidRPr="00EE0A45" w:rsidR="0031217A" w:rsidP="0031217A" w:rsidRDefault="0031217A">
      <w:pPr>
        <w:pStyle w:val="odstavec"/>
        <w:keepNext/>
        <w:rPr>
          <w:rFonts w:asciiTheme="minorHAnsi" w:hAnsiTheme="minorHAnsi" w:cstheme="minorHAnsi"/>
          <w:b/>
          <w:sz w:val="22"/>
          <w:szCs w:val="22"/>
        </w:rPr>
      </w:pPr>
      <w:r w:rsidRPr="00EE0A45">
        <w:rPr>
          <w:rFonts w:asciiTheme="minorHAnsi" w:hAnsiTheme="minorHAnsi" w:cstheme="minorHAnsi"/>
          <w:b/>
          <w:sz w:val="22"/>
          <w:szCs w:val="22"/>
        </w:rPr>
        <w:t>SW</w:t>
      </w:r>
    </w:p>
    <w:p w:rsidRPr="00EE0A45" w:rsidR="0031217A" w:rsidP="0031217A" w:rsidRDefault="0031217A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EE0A45">
        <w:rPr>
          <w:rFonts w:asciiTheme="minorHAnsi" w:hAnsiTheme="minorHAnsi" w:cstheme="minorHAnsi"/>
          <w:sz w:val="22"/>
          <w:szCs w:val="22"/>
        </w:rPr>
        <w:t>Servrová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virtualizace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Vmware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7,</w:t>
      </w:r>
    </w:p>
    <w:p w:rsidRPr="00EE0A45" w:rsidR="0031217A" w:rsidP="0031217A" w:rsidRDefault="0031217A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>serverové operační systémy – převážně MS Windows server 2008 R2, 2012 R2, Linux 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Redhat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enterprise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>,</w:t>
      </w:r>
    </w:p>
    <w:p w:rsidRPr="00EE0A45" w:rsidR="0031217A" w:rsidP="0031217A" w:rsidRDefault="0031217A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>databázový systém – Microsoft SQL,</w:t>
      </w:r>
    </w:p>
    <w:p w:rsidRPr="00EE0A45" w:rsidR="0031217A" w:rsidP="0031217A" w:rsidRDefault="0031217A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zálohování virtuální </w:t>
      </w:r>
      <w:proofErr w:type="gramStart"/>
      <w:r w:rsidRPr="00EE0A45">
        <w:rPr>
          <w:rFonts w:asciiTheme="minorHAnsi" w:hAnsiTheme="minorHAnsi" w:cstheme="minorHAnsi"/>
          <w:sz w:val="22"/>
          <w:szCs w:val="22"/>
        </w:rPr>
        <w:t xml:space="preserve">infrastruktury -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Veeam</w:t>
      </w:r>
      <w:proofErr w:type="spellEnd"/>
      <w:proofErr w:type="gramEnd"/>
      <w:r w:rsidRPr="00EE0A45">
        <w:rPr>
          <w:rFonts w:asciiTheme="minorHAnsi" w:hAnsiTheme="minorHAnsi" w:cstheme="minorHAnsi"/>
          <w:sz w:val="22"/>
          <w:szCs w:val="22"/>
        </w:rPr>
        <w:t xml:space="preserve"> B&amp;R,</w:t>
      </w:r>
    </w:p>
    <w:p w:rsidRPr="00EE0A45" w:rsidR="0031217A" w:rsidP="0031217A" w:rsidRDefault="0031217A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provozované systémové služby v rámci domény </w:t>
      </w:r>
      <w:proofErr w:type="spellStart"/>
      <w:r w:rsidRPr="00EE0A45">
        <w:rPr>
          <w:rFonts w:asciiTheme="minorHAnsi" w:hAnsiTheme="minorHAnsi" w:cstheme="minorHAnsi"/>
          <w:bCs/>
          <w:kern w:val="36"/>
          <w:sz w:val="22"/>
          <w:szCs w:val="22"/>
        </w:rPr>
        <w:t>Active</w:t>
      </w:r>
      <w:proofErr w:type="spellEnd"/>
      <w:r w:rsidRPr="00EE0A45">
        <w:rPr>
          <w:rFonts w:asciiTheme="minorHAnsi" w:hAnsiTheme="minorHAnsi" w:cstheme="minorHAnsi"/>
          <w:bCs/>
          <w:kern w:val="36"/>
          <w:sz w:val="22"/>
          <w:szCs w:val="22"/>
        </w:rPr>
        <w:t xml:space="preserve"> </w:t>
      </w:r>
      <w:proofErr w:type="spellStart"/>
      <w:r w:rsidRPr="00EE0A45">
        <w:rPr>
          <w:rFonts w:asciiTheme="minorHAnsi" w:hAnsiTheme="minorHAnsi" w:cstheme="minorHAnsi"/>
          <w:bCs/>
          <w:kern w:val="36"/>
          <w:sz w:val="22"/>
          <w:szCs w:val="22"/>
        </w:rPr>
        <w:t>Directory</w:t>
      </w:r>
      <w:proofErr w:type="spellEnd"/>
      <w:r w:rsidRPr="00EE0A45">
        <w:rPr>
          <w:rFonts w:asciiTheme="minorHAnsi" w:hAnsiTheme="minorHAnsi" w:cstheme="minorHAnsi"/>
          <w:bCs/>
          <w:kern w:val="36"/>
          <w:sz w:val="22"/>
          <w:szCs w:val="22"/>
        </w:rPr>
        <w:t>, DNS, DHCP, GPO,</w:t>
      </w:r>
    </w:p>
    <w:p w:rsidRPr="00B3440C" w:rsidR="0031217A" w:rsidP="0031217A" w:rsidRDefault="0031217A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line="360" w:lineRule="auto"/>
        <w:ind w:left="714" w:hanging="357"/>
        <w:rPr>
          <w:rFonts w:asciiTheme="minorHAnsi" w:hAnsiTheme="minorHAnsi" w:cstheme="minorHAnsi"/>
          <w:bCs/>
          <w:kern w:val="36"/>
          <w:sz w:val="22"/>
          <w:szCs w:val="22"/>
        </w:rPr>
      </w:pPr>
      <w:r w:rsidRPr="00EE0A45">
        <w:rPr>
          <w:rFonts w:asciiTheme="minorHAnsi" w:hAnsiTheme="minorHAnsi" w:cstheme="minorHAnsi"/>
          <w:bCs/>
          <w:kern w:val="36"/>
          <w:sz w:val="22"/>
          <w:szCs w:val="22"/>
        </w:rPr>
        <w:t xml:space="preserve">kancelářský systém (Microsoft Office 2019 </w:t>
      </w:r>
      <w:proofErr w:type="spellStart"/>
      <w:r w:rsidRPr="00EE0A45">
        <w:rPr>
          <w:rFonts w:asciiTheme="minorHAnsi" w:hAnsiTheme="minorHAnsi" w:cstheme="minorHAnsi"/>
          <w:bCs/>
          <w:kern w:val="36"/>
          <w:sz w:val="22"/>
          <w:szCs w:val="22"/>
        </w:rPr>
        <w:t>cz</w:t>
      </w:r>
      <w:proofErr w:type="spellEnd"/>
      <w:r w:rsidRPr="00EE0A45">
        <w:rPr>
          <w:rFonts w:asciiTheme="minorHAnsi" w:hAnsiTheme="minorHAnsi" w:cstheme="minorHAnsi"/>
          <w:bCs/>
          <w:kern w:val="36"/>
          <w:sz w:val="22"/>
          <w:szCs w:val="22"/>
        </w:rPr>
        <w:t>).</w:t>
      </w:r>
    </w:p>
    <w:p w:rsidRPr="0031217A" w:rsidR="0031217A" w:rsidP="0031217A" w:rsidRDefault="0031217A">
      <w:pPr>
        <w:pStyle w:val="odstavec"/>
        <w:keepNext/>
        <w:rPr>
          <w:rFonts w:asciiTheme="minorHAnsi" w:hAnsiTheme="minorHAnsi" w:cstheme="minorHAnsi"/>
          <w:b/>
          <w:sz w:val="22"/>
          <w:szCs w:val="22"/>
        </w:rPr>
      </w:pPr>
      <w:r w:rsidRPr="0031217A">
        <w:rPr>
          <w:rFonts w:asciiTheme="minorHAnsi" w:hAnsiTheme="minorHAnsi" w:cstheme="minorHAnsi"/>
          <w:b/>
          <w:sz w:val="22"/>
          <w:szCs w:val="22"/>
        </w:rPr>
        <w:t>PC, notebooky</w:t>
      </w:r>
    </w:p>
    <w:p w:rsidRPr="00EE0A45" w:rsidR="0031217A" w:rsidP="0031217A" w:rsidRDefault="0031217A">
      <w:pPr>
        <w:pStyle w:val="odstavec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>Další koncová zařízení jsou provozována na operačním systému Windows 10 pro 64bit.</w:t>
      </w:r>
    </w:p>
    <w:p w:rsidRPr="00EE0A45" w:rsidR="0031217A" w:rsidP="00EE0A45" w:rsidRDefault="0031217A">
      <w:pPr>
        <w:rPr>
          <w:rFonts w:cstheme="minorHAnsi"/>
          <w:b/>
          <w:szCs w:val="22"/>
        </w:rPr>
      </w:pPr>
    </w:p>
    <w:p w:rsidRPr="00EE0A45" w:rsidR="0078740E" w:rsidP="00B3440C" w:rsidRDefault="0078740E">
      <w:pPr>
        <w:jc w:val="left"/>
        <w:rPr>
          <w:rFonts w:cstheme="minorHAnsi"/>
          <w:bCs/>
          <w:kern w:val="36"/>
          <w:szCs w:val="22"/>
        </w:rPr>
      </w:pPr>
      <w:r w:rsidRPr="00EE0A45">
        <w:rPr>
          <w:rFonts w:cstheme="minorHAnsi"/>
          <w:bCs/>
          <w:noProof/>
          <w:kern w:val="36"/>
          <w:szCs w:val="22"/>
        </w:rPr>
        <w:drawing>
          <wp:inline distT="0" distB="0" distL="0" distR="0">
            <wp:extent cx="6267725" cy="7375540"/>
            <wp:effectExtent l="0" t="0" r="0" b="0"/>
            <wp:docPr id="3" name="Obrázek 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" name="schéma radnice_1.jpg"/>
                    <pic:cNvPicPr/>
                  </pic:nvPicPr>
                  <pic:blipFill rotWithShape="true"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18414" t="11375" b="19269"/>
                    <a:stretch/>
                  </pic:blipFill>
                  <pic:spPr bwMode="auto">
                    <a:xfrm>
                      <a:off x="0" y="0"/>
                      <a:ext cx="6328613" cy="7447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inline>
        </w:drawing>
      </w:r>
    </w:p>
    <w:p w:rsidR="0031217A" w:rsidP="0031217A" w:rsidRDefault="0078740E">
      <w:pPr>
        <w:jc w:val="center"/>
        <w:rPr>
          <w:b/>
        </w:rPr>
      </w:pPr>
      <w:r w:rsidRPr="00EE0A45">
        <w:rPr>
          <w:rFonts w:cstheme="minorHAnsi"/>
          <w:bCs/>
          <w:noProof/>
          <w:kern w:val="36"/>
          <w:szCs w:val="22"/>
        </w:rPr>
        <w:lastRenderedPageBreak/>
        <w:drawing>
          <wp:inline distT="0" distB="0" distL="0" distR="0">
            <wp:extent cx="4645152" cy="6741418"/>
            <wp:effectExtent l="0" t="0" r="3175" b="2540"/>
            <wp:docPr id="2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schéma radnice_2.jpg"/>
                    <pic:cNvPicPr/>
                  </pic:nvPicPr>
                  <pic:blipFill rotWithShape="true"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12957" t="1193" r="42321" b="51918"/>
                    <a:stretch/>
                  </pic:blipFill>
                  <pic:spPr bwMode="auto">
                    <a:xfrm>
                      <a:off x="0" y="0"/>
                      <a:ext cx="4671185" cy="6779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inline>
        </w:drawing>
      </w:r>
      <w:bookmarkStart w:name="_Toc523315791" w:id="1"/>
    </w:p>
    <w:p w:rsidRPr="00EE0A45" w:rsidR="0031217A" w:rsidP="0031217A" w:rsidRDefault="00B3440C">
      <w:pPr>
        <w:pStyle w:val="2nadpis"/>
      </w:pPr>
      <w:r>
        <w:t>S</w:t>
      </w:r>
      <w:r w:rsidRPr="00EE0A45" w:rsidR="0031217A">
        <w:t>oftwarová infrastruktura</w:t>
      </w:r>
      <w:r w:rsidR="0031217A">
        <w:t xml:space="preserve">, </w:t>
      </w:r>
      <w:r w:rsidRPr="00EE0A45" w:rsidR="0031217A">
        <w:t>aktuálně využívané informační systémy</w:t>
      </w:r>
    </w:p>
    <w:p w:rsidRPr="00EE0A45" w:rsidR="00836E76" w:rsidP="00B3440C" w:rsidRDefault="0031217A">
      <w:pPr>
        <w:pStyle w:val="odstavec"/>
        <w:rPr>
          <w:rFonts w:asciiTheme="minorHAnsi" w:hAnsiTheme="minorHAnsi" w:cstheme="minorHAnsi"/>
          <w:sz w:val="22"/>
          <w:szCs w:val="22"/>
        </w:rPr>
        <w:sectPr w:rsidRPr="00EE0A45" w:rsidR="00836E76" w:rsidSect="00B3440C">
          <w:headerReference w:type="default" r:id="rId9"/>
          <w:footerReference w:type="default" r:id="rId10"/>
          <w:pgSz w:w="11906" w:h="16838"/>
          <w:pgMar w:top="709" w:right="1417" w:bottom="1135" w:left="1417" w:header="708" w:footer="708" w:gutter="0"/>
          <w:cols w:space="708"/>
          <w:docGrid w:linePitch="360"/>
        </w:sectPr>
      </w:pPr>
      <w:r w:rsidRPr="00EE0A45">
        <w:rPr>
          <w:rFonts w:asciiTheme="minorHAnsi" w:hAnsiTheme="minorHAnsi" w:cstheme="minorHAnsi"/>
          <w:sz w:val="22"/>
          <w:szCs w:val="22"/>
        </w:rPr>
        <w:t xml:space="preserve">V dnešní době neexistuje na MÚ jednotný informační systém. Jako centrální informační systém je současné době nasazen IS Radnice VERA, který zahrnuje ekonomické agendy, spisovou službu a velké množství vzájemně propojených správních agend pro jednotlivé odbory MÚ. </w:t>
      </w:r>
      <w:r w:rsidR="00B3440C">
        <w:rPr>
          <w:rFonts w:asciiTheme="minorHAnsi" w:hAnsiTheme="minorHAnsi" w:cstheme="minorHAnsi"/>
          <w:sz w:val="22"/>
          <w:szCs w:val="22"/>
        </w:rPr>
        <w:t xml:space="preserve"> Následně je uveden Katalog informačních systémů.</w:t>
      </w:r>
    </w:p>
    <w:bookmarkEnd w:id="1"/>
    <w:p w:rsidRPr="00EE0A45" w:rsidR="00836E76" w:rsidP="00B3440C" w:rsidRDefault="00836E76">
      <w:pPr>
        <w:pStyle w:val="2nadpis"/>
      </w:pPr>
      <w:r w:rsidRPr="00EE0A45">
        <w:lastRenderedPageBreak/>
        <w:t>Katalog informačních systémů</w:t>
      </w:r>
    </w:p>
    <w:tbl>
      <w:tblPr>
        <w:tblStyle w:val="Mkatabulky"/>
        <w:tblW w:w="14518" w:type="dxa"/>
        <w:tblInd w:w="-147" w:type="dxa"/>
        <w:tblLook w:firstRow="1" w:lastRow="0" w:firstColumn="1" w:lastColumn="0" w:noHBand="0" w:noVBand="1" w:val="04A0"/>
      </w:tblPr>
      <w:tblGrid>
        <w:gridCol w:w="988"/>
        <w:gridCol w:w="3402"/>
        <w:gridCol w:w="5387"/>
        <w:gridCol w:w="1050"/>
        <w:gridCol w:w="3691"/>
      </w:tblGrid>
      <w:tr w:rsidRPr="00EE0A45" w:rsidR="00EE0A45" w:rsidTr="00EE0A45">
        <w:trPr>
          <w:trHeight w:val="286"/>
          <w:tblHeader/>
        </w:trPr>
        <w:tc>
          <w:tcPr>
            <w:tcW w:w="988" w:type="dxa"/>
            <w:shd w:val="clear" w:color="auto" w:fill="D9D9D9" w:themeFill="background1" w:themeFillShade="D9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5387" w:type="dxa"/>
            <w:shd w:val="clear" w:color="auto" w:fill="D9D9D9" w:themeFill="background1" w:themeFillShade="D9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Specifikace a účel</w:t>
            </w:r>
          </w:p>
        </w:tc>
        <w:tc>
          <w:tcPr>
            <w:tcW w:w="1050" w:type="dxa"/>
            <w:shd w:val="clear" w:color="auto" w:fill="D9D9D9" w:themeFill="background1" w:themeFillShade="D9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3691" w:type="dxa"/>
            <w:shd w:val="clear" w:color="auto" w:fill="D9D9D9" w:themeFill="background1" w:themeFillShade="D9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dodavatel/poskytovatel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01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AutoCAD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projektové dokumentace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A|W 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Graph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, 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02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Adobe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Acrobat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Reader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DC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PDF prohlížeč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Adobe Systems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03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Codexis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Legislativa České republiky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ATLAS CONSULTING spol. s 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04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Skyla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pro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přístupů do TC s biometrickými údaji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AutoCont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CZ a.s. 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05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DVG Sence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MKDS dohledové pracoviště, export záznamů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AutoCont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CZ a.s. 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06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Kaspersky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Endpoint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security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Internet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security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a antivir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SIS/PIS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AutoCont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CZ a.s. 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07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Envipartner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povodňový plán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ENVIPARTNER, s.r.o. 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08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Matrika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agenda Matrika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GORDIC, </w:t>
            </w:r>
            <w:proofErr w:type="spellStart"/>
            <w:proofErr w:type="gram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spol.s</w:t>
            </w:r>
            <w:proofErr w:type="spellEnd"/>
            <w:proofErr w:type="gram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09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POVIS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Databáze pro povodňové komise o objekty. Vazba na povodňový plán.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HYDROSOFT Veleslavín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10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Nakládání s odpady a ekologii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INISOFT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11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ESPI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 správních řízení, původci odpadů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INISOFT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12</w:t>
            </w:r>
          </w:p>
        </w:tc>
        <w:tc>
          <w:tcPr>
            <w:tcW w:w="3402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Moje </w:t>
            </w:r>
            <w:proofErr w:type="gram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odpadky - MESOH</w:t>
            </w:r>
            <w:proofErr w:type="gramEnd"/>
          </w:p>
        </w:tc>
        <w:tc>
          <w:tcPr>
            <w:tcW w:w="5387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Evidence odpadu, motivační systém </w:t>
            </w:r>
          </w:p>
        </w:tc>
        <w:tc>
          <w:tcPr>
            <w:tcW w:w="1050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ISNO IT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13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WebCall250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Vyvolávací systém pro automatizované odbavování klientů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Kadlec elektronika,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14</w:t>
            </w:r>
          </w:p>
        </w:tc>
        <w:tc>
          <w:tcPr>
            <w:tcW w:w="3402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KOHA</w:t>
            </w:r>
          </w:p>
        </w:tc>
        <w:tc>
          <w:tcPr>
            <w:tcW w:w="5387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Knihovnický systém</w:t>
            </w:r>
          </w:p>
        </w:tc>
        <w:tc>
          <w:tcPr>
            <w:tcW w:w="1050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15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ManaDesk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Procesní portál pro organizačně řídící dokumentaci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Mana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Consulting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16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Centrální registr vozidel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Centrální registr vozidel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dopravy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17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Eliška – registr řidičů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řidičů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dopravy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KIS 18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eTesty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 pro vykonávání elektronických testů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dopravy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19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Centrální registr dopravců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Centrální registr dopravců (taxislužba, řidiči)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dopravy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20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 OK služby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Údaje o klientech odd. sociálních věcí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práce a sociálních věcí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21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 MS 2014+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vyplňování a podávání elektronické žádosti o podporu projektu ze strukturálních fondů 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pro místní rozvoj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22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živnostenského podnikání (RŽP)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živnostenského podnikání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průmyslu a obchodu / ICZ a.s.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23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ISRP 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přestupků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spravedlnosti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24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Registr </w:t>
            </w:r>
            <w:proofErr w:type="gram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oznámení  e</w:t>
            </w:r>
            <w:proofErr w:type="gram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-justice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Registr </w:t>
            </w:r>
            <w:proofErr w:type="gram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oznámení  e</w:t>
            </w:r>
            <w:proofErr w:type="gram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-justice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spravedlnosti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25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ISDS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Informační systém datových schránek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vnitra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26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osob s přechodným pobytem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osob s přechodným pobytem (krizové řízení)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vnitra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27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eOP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Obslužná aplikace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eOP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občanské průkazy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vnitra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28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e-pasy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pro cestovní doklady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vnitra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29</w:t>
            </w:r>
          </w:p>
        </w:tc>
        <w:tc>
          <w:tcPr>
            <w:tcW w:w="3402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C227 – centrální aplikace</w:t>
            </w:r>
          </w:p>
        </w:tc>
        <w:tc>
          <w:tcPr>
            <w:tcW w:w="5387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evidence obyvatel</w:t>
            </w:r>
          </w:p>
        </w:tc>
        <w:tc>
          <w:tcPr>
            <w:tcW w:w="1050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vnitra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30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SME a STK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stanic měření emisí a stanic technické kontroly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Ministerstvo vnitra 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31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ISRS 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 Registru smluv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Ministerstvo vnitra 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32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EZP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zemědělských podnikatelů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zemědělství</w:t>
            </w:r>
          </w:p>
        </w:tc>
      </w:tr>
      <w:tr w:rsidRPr="00EE0A45" w:rsidR="00EE0A45" w:rsidTr="00EE0A45">
        <w:trPr>
          <w:trHeight w:val="549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33</w:t>
            </w:r>
          </w:p>
        </w:tc>
        <w:tc>
          <w:tcPr>
            <w:tcW w:w="3402" w:type="dxa"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Centrální registr vodoprávní evidence (CRVE)</w:t>
            </w:r>
          </w:p>
        </w:tc>
        <w:tc>
          <w:tcPr>
            <w:tcW w:w="5387" w:type="dxa"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Centrální registr vodoprávní evidence (CRVE)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zemědělství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34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Agri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Portál </w:t>
            </w:r>
            <w:proofErr w:type="spellStart"/>
            <w:proofErr w:type="gram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eAGRI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- resortní</w:t>
            </w:r>
            <w:proofErr w:type="gram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portál Ministerstva zemědělství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zemědělství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35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Habides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Evidence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odchytného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postupu při evidenci ptactva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životního prostředí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KIS 36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ISPOP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Zapracování a příjem vybraných hlášení (ohlašovacích povinností) z oblasti životního prostředí v elektronické podobě a další distribuci těchto hlášení příslušným institucím veřejné správy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životního prostředí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37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odnětí ZPF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odnětí ZPF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životního prostředí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38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Profil zadavatele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e-zakazky.cz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OTIDEA CZ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39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COLOSEUM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Rezervační systém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Colosseum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pro Jiráskovo divadlo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Perfect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System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s. r. 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40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SMS brána 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Hromadné rozesílání SMS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SMSbrána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41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Argis</w:t>
            </w:r>
            <w:proofErr w:type="spellEnd"/>
          </w:p>
        </w:tc>
        <w:tc>
          <w:tcPr>
            <w:tcW w:w="5387" w:type="dxa"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Plány nezbytných dodávek jako nedílné součásti Krizového plánu.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Správa státních hmotných rezerv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42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Krizdata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Informační systémy určené k podpoře plánování hospodářských opatření pro krizové stavy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Správa státních hmotných rezerv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43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Krizkom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Nástroj pro koordinaci a podporu procesů při řešení požadavků na věcné zdroje za krizových stavů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Správa státních hmotných rezerv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44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PDF-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Xchange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PDF editor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TERAGON SW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45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Thomasonline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personální řízení 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Thomas International CZ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46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T-WIST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Týmový Webový Informační Systém firmy T-MAPY, evidence smluv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T-MAPY spol. s 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47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Usnesení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Usnesení RM a ZM, export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T-MAPY spol. s 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48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Hlášení závad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Veřejná aplikace pro hlášení závad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T-MAPY spol. s 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49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GIS – projekty a pasporty 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Pasport zeleně, pasport komunikací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T-MAPY spol. s 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50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GIS objekty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Správa bodů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T-MAPY spol. s 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51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GIS informace k nemovitostem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Vyznačení pronájmů ploch v mapě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T-MAPY spol. s 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KIS 52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Alpus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2015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přístupů, evidence docházky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TOMST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53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Heletax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prohlížečka digitálně zpracovaných Lesních hospodářských plánů (LHP) a Lesních hospodářských osnov (LHO).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Topol Pro s.r.o. 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54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KROS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rozpočet pro investiční akce, harmonogramy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ÚRS PRAHA, a.s.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55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proofErr w:type="gram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VEMA - modul</w:t>
            </w:r>
            <w:proofErr w:type="gram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vzdělávání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vzdělávání úřadníků, zaměstnanců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Vema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, a.s.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56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 </w:t>
            </w:r>
            <w:proofErr w:type="gramStart"/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VEMA - modul</w:t>
            </w:r>
            <w:proofErr w:type="gramEnd"/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Personalistika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zpracování personální agendy v organizaci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PIS/ISVS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Vema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, a.s.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57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 </w:t>
            </w:r>
            <w:proofErr w:type="gramStart"/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VEMA - PAM</w:t>
            </w:r>
            <w:proofErr w:type="gramEnd"/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mzdy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výpočet mezd a platů s výstupy na zdravotní pojišťovnu, na sociální zabezpečení a do peněžních ústavů.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PIS/ISVS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Vema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, a.s.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58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ELD- elektronické</w:t>
            </w:r>
            <w:proofErr w:type="gramEnd"/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podání ELDP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elektronické podání ELDP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PIS/ISVS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Vema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, a.s.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59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KZP - komunikace</w:t>
            </w:r>
            <w:proofErr w:type="gramEnd"/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 ZP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komunikace se ZP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PIS/ISVS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Vema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, a.s.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60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RNP - registrace</w:t>
            </w:r>
            <w:proofErr w:type="gramEnd"/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nemocenského pojištění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registrace nemocenského pojištění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PIS/ISVS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Vema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, a.s.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61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 obyvatel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 obyvatel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62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 hospodářských subjektů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 hospodářských subjektů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63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 územně identifikační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 územně identifikační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64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Sociálně právní ochrana dětí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Sociálně právní ochrana dětí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65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 úřad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 úřad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66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Přestupkové řízení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Přestupkové řízení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67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Volební agenda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Volební agenda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68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 přestupků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 přestupků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69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ohlašovna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ohlašovna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KIS 70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domů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domů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71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Bytů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Bytů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72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parcel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parcel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73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Městská policie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Agenda Městská policie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74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Registry - Prohlížečka</w:t>
            </w:r>
            <w:proofErr w:type="gram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AISEO a AISC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Registry - Prohlížečka</w:t>
            </w:r>
            <w:proofErr w:type="gram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AISEO a AISC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75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Smlouvy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Smlouvy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76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Příjmy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Příjmy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77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Výdaje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Výdaje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78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Banka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Banka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79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Pokladna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Pokladna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80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Komunální odpad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Komunální odpad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81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Fakturace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Fakturace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82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psů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psů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83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Objednávky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Objednávky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84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Vymáhání pohledávek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Vymáhání pohledávek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85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SIPO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SIPO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86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Výkazy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Výkazy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87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Nájemné z bytů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Nájemné z bytů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88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Pasporty a ekonomika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Pasporty a ekonomika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89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Majetek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Majetek, evidence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90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sklady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sklady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KIS 91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klikací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rozpočet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klikací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rozpočet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92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MIS - Manažerský</w:t>
            </w:r>
            <w:proofErr w:type="gram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informační systém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MIS - Manažerský</w:t>
            </w:r>
            <w:proofErr w:type="gram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informační systém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93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Spisová služba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Spisová služba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PIS/ISVS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94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účetnictví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účetnictví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PIS/ISVS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95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Tvorba rozpočtu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Tvorba rozpočtu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PIS/ISVS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96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export do účetnictví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export do účetnictví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97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Rozhraní ISIR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Rozhraní ISIR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98</w:t>
            </w:r>
          </w:p>
        </w:tc>
        <w:tc>
          <w:tcPr>
            <w:tcW w:w="3402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 dopravních agend</w:t>
            </w:r>
          </w:p>
        </w:tc>
        <w:tc>
          <w:tcPr>
            <w:tcW w:w="5387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Dopravní přestupky</w:t>
            </w:r>
          </w:p>
        </w:tc>
        <w:tc>
          <w:tcPr>
            <w:tcW w:w="1050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99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Myslivecké a rybářské průkazy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Lovecké lístky, myslivost, rybářství 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YAMACO Software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</w:t>
            </w:r>
            <w:r w:rsidRPr="00EE0A45" w:rsidR="00EE0A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 myslivosti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 myslivosti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YAMACO Software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101</w:t>
            </w:r>
          </w:p>
        </w:tc>
        <w:tc>
          <w:tcPr>
            <w:tcW w:w="3402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vismo</w:t>
            </w:r>
            <w:proofErr w:type="spellEnd"/>
          </w:p>
        </w:tc>
        <w:tc>
          <w:tcPr>
            <w:tcW w:w="5387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Redakční systém webových stránek společnosti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Webhouse</w:t>
            </w:r>
            <w:proofErr w:type="spellEnd"/>
          </w:p>
        </w:tc>
        <w:tc>
          <w:tcPr>
            <w:tcW w:w="1050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WEBHOUSE,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102</w:t>
            </w:r>
          </w:p>
        </w:tc>
        <w:tc>
          <w:tcPr>
            <w:tcW w:w="3402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Systém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ArcGIS</w:t>
            </w:r>
            <w:proofErr w:type="spellEnd"/>
          </w:p>
        </w:tc>
        <w:tc>
          <w:tcPr>
            <w:tcW w:w="5387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software pro práci s geografickými informačními systémy</w:t>
            </w:r>
          </w:p>
        </w:tc>
        <w:tc>
          <w:tcPr>
            <w:tcW w:w="1050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ARCDATA PRAHA, s.r.o.</w:t>
            </w:r>
          </w:p>
        </w:tc>
      </w:tr>
      <w:tr w:rsidRPr="00EE0A45" w:rsidR="00EE0A45" w:rsidTr="00D075A7">
        <w:trPr>
          <w:trHeight w:val="286"/>
        </w:trPr>
        <w:tc>
          <w:tcPr>
            <w:tcW w:w="988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103</w:t>
            </w:r>
          </w:p>
        </w:tc>
        <w:tc>
          <w:tcPr>
            <w:tcW w:w="3402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Operační systémy</w:t>
            </w:r>
          </w:p>
        </w:tc>
        <w:tc>
          <w:tcPr>
            <w:tcW w:w="5387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Linux, MS Windows server 2008 R2, MS Windows server 2012, MS Windows 8.1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enterprise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, MS Windows 10.</w:t>
            </w:r>
          </w:p>
        </w:tc>
        <w:tc>
          <w:tcPr>
            <w:tcW w:w="1050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SIS</w:t>
            </w:r>
          </w:p>
        </w:tc>
        <w:tc>
          <w:tcPr>
            <w:tcW w:w="3691" w:type="dxa"/>
            <w:shd w:val="clear" w:color="auto" w:fill="D9D9D9" w:themeFill="background1" w:themeFillShade="D9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E0A45" w:rsidR="00EE0A45" w:rsidTr="00D075A7">
        <w:trPr>
          <w:trHeight w:val="286"/>
        </w:trPr>
        <w:tc>
          <w:tcPr>
            <w:tcW w:w="988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104</w:t>
            </w:r>
          </w:p>
        </w:tc>
        <w:tc>
          <w:tcPr>
            <w:tcW w:w="3402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Kancelářské systémy</w:t>
            </w:r>
          </w:p>
        </w:tc>
        <w:tc>
          <w:tcPr>
            <w:tcW w:w="5387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MS Office 2019, 2016, 2014</w:t>
            </w:r>
          </w:p>
        </w:tc>
        <w:tc>
          <w:tcPr>
            <w:tcW w:w="1050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SIS</w:t>
            </w:r>
          </w:p>
        </w:tc>
        <w:tc>
          <w:tcPr>
            <w:tcW w:w="3691" w:type="dxa"/>
            <w:shd w:val="clear" w:color="auto" w:fill="D9D9D9" w:themeFill="background1" w:themeFillShade="D9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</w:tcPr>
          <w:p w:rsidRPr="00EE0A45" w:rsidR="00836E76" w:rsidP="00836E76" w:rsidRDefault="00EE0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KIS </w:t>
            </w:r>
            <w:r w:rsidRPr="00EE0A45" w:rsidR="00836E76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3402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Česká kancelář pojistitelů</w:t>
            </w:r>
          </w:p>
        </w:tc>
        <w:tc>
          <w:tcPr>
            <w:tcW w:w="5387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Ověření pojištění vozidla</w:t>
            </w:r>
          </w:p>
        </w:tc>
        <w:tc>
          <w:tcPr>
            <w:tcW w:w="1050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Česká kancelář pojistitelů</w:t>
            </w:r>
          </w:p>
        </w:tc>
      </w:tr>
    </w:tbl>
    <w:p w:rsidRPr="00EE0A45" w:rsidR="00836E76" w:rsidRDefault="00836E76">
      <w:pPr>
        <w:spacing w:before="0" w:after="200" w:line="276" w:lineRule="auto"/>
        <w:jc w:val="left"/>
        <w:rPr>
          <w:rFonts w:eastAsia="Arial Unicode MS" w:cstheme="minorHAnsi"/>
          <w:szCs w:val="22"/>
        </w:rPr>
      </w:pPr>
    </w:p>
    <w:p w:rsidRPr="00EE0A45" w:rsidR="002F7144" w:rsidRDefault="002F7144">
      <w:pPr>
        <w:spacing w:before="0" w:after="200" w:line="276" w:lineRule="auto"/>
        <w:jc w:val="left"/>
        <w:rPr>
          <w:rFonts w:cstheme="minorHAnsi"/>
          <w:szCs w:val="22"/>
        </w:rPr>
        <w:sectPr w:rsidRPr="00EE0A45" w:rsidR="002F7144" w:rsidSect="00836E76">
          <w:pgSz w:w="16838" w:h="11906" w:orient="landscape"/>
          <w:pgMar w:top="1417" w:right="993" w:bottom="1417" w:left="1417" w:header="708" w:footer="708" w:gutter="0"/>
          <w:cols w:space="708"/>
          <w:docGrid w:linePitch="360"/>
        </w:sectPr>
      </w:pPr>
    </w:p>
    <w:p w:rsidRPr="00EE0A45" w:rsidR="002F7144" w:rsidP="002F7144" w:rsidRDefault="002F7144">
      <w:pPr>
        <w:rPr>
          <w:rFonts w:cstheme="minorHAnsi"/>
          <w:szCs w:val="22"/>
        </w:rPr>
      </w:pPr>
      <w:r w:rsidRPr="00EE0A45">
        <w:rPr>
          <w:rFonts w:cstheme="minorHAnsi"/>
          <w:szCs w:val="22"/>
        </w:rPr>
        <w:lastRenderedPageBreak/>
        <w:t>Informační systém je systém technologických a programových prostředků, dat a lidí, jehož cílem je efektivní podpora informačních, rozhodovacích a řídících procesů na všech úrovních řízení organizace. Informační systémy města tvoří následující typy informačních systémů:</w:t>
      </w:r>
    </w:p>
    <w:p w:rsidRPr="00EE0A45" w:rsidR="002F7144" w:rsidP="002F7144" w:rsidRDefault="002F7144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A45">
        <w:rPr>
          <w:rFonts w:asciiTheme="minorHAnsi" w:hAnsiTheme="minorHAnsi" w:cstheme="minorHAnsi"/>
          <w:b/>
          <w:sz w:val="22"/>
          <w:szCs w:val="22"/>
        </w:rPr>
        <w:t xml:space="preserve">informační systémy veřejné správy (ISVS) </w:t>
      </w:r>
    </w:p>
    <w:p w:rsidRPr="00EE0A45" w:rsidR="002F7144" w:rsidP="002F7144" w:rsidRDefault="002F7144">
      <w:pPr>
        <w:pStyle w:val="Odstavecseseznamem"/>
        <w:rPr>
          <w:rFonts w:asciiTheme="minorHAnsi" w:hAnsiTheme="minorHAnsi" w:cstheme="minorHAnsi"/>
          <w:i/>
          <w:sz w:val="22"/>
          <w:szCs w:val="22"/>
        </w:rPr>
      </w:pPr>
      <w:r w:rsidRPr="00EE0A45">
        <w:rPr>
          <w:rFonts w:asciiTheme="minorHAnsi" w:hAnsiTheme="minorHAnsi" w:cstheme="minorHAnsi"/>
          <w:i/>
          <w:sz w:val="22"/>
          <w:szCs w:val="22"/>
        </w:rPr>
        <w:t>(Pro jednoznačnou terminologii platí, že informační systém se považuje za ISVS, i když pouze některá jeho část (subsystém/modul) slouží pro výkon agend veřejné správy.)</w:t>
      </w:r>
    </w:p>
    <w:p w:rsidRPr="00EE0A45" w:rsidR="002F7144" w:rsidP="002F7144" w:rsidRDefault="002F7144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zajišťují informační služby pro výkon agend veřejné správy; specifické ISVS </w:t>
      </w:r>
      <w:r w:rsidRPr="00EE0A45">
        <w:rPr>
          <w:rFonts w:asciiTheme="minorHAnsi" w:hAnsiTheme="minorHAnsi" w:cstheme="minorHAnsi"/>
          <w:sz w:val="22"/>
          <w:szCs w:val="22"/>
        </w:rPr>
        <w:br/>
        <w:t>(</w:t>
      </w:r>
      <w:r w:rsidRPr="00EE0A45">
        <w:rPr>
          <w:rFonts w:asciiTheme="minorHAnsi" w:hAnsiTheme="minorHAnsi" w:cstheme="minorHAnsi"/>
          <w:i/>
          <w:sz w:val="22"/>
          <w:szCs w:val="22"/>
        </w:rPr>
        <w:t>V praxi mohou nastat případy, kdy systém je významným informačním systémem, a přitom není informačním systémem veřejné správy</w:t>
      </w:r>
      <w:r w:rsidRPr="00EE0A45">
        <w:rPr>
          <w:rFonts w:asciiTheme="minorHAnsi" w:hAnsiTheme="minorHAnsi" w:cstheme="minorHAnsi"/>
          <w:sz w:val="22"/>
          <w:szCs w:val="22"/>
        </w:rPr>
        <w:t xml:space="preserve">): </w:t>
      </w:r>
    </w:p>
    <w:p w:rsidRPr="00EE0A45" w:rsidR="002F7144" w:rsidP="002F7144" w:rsidRDefault="002F7144">
      <w:pPr>
        <w:pStyle w:val="Odstavecseseznamem"/>
        <w:numPr>
          <w:ilvl w:val="0"/>
          <w:numId w:val="14"/>
        </w:numPr>
        <w:spacing w:after="120"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b/>
          <w:sz w:val="22"/>
          <w:szCs w:val="22"/>
        </w:rPr>
        <w:t xml:space="preserve">významné informační systémy (VIS) </w:t>
      </w:r>
    </w:p>
    <w:p w:rsidRPr="00EE0A45" w:rsidR="002F7144" w:rsidP="002F7144" w:rsidRDefault="002F7144">
      <w:pPr>
        <w:pStyle w:val="Odstavecseseznamem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EE0A45">
        <w:rPr>
          <w:rFonts w:asciiTheme="minorHAnsi" w:hAnsiTheme="minorHAnsi" w:cstheme="minorHAnsi"/>
          <w:i/>
          <w:sz w:val="22"/>
          <w:szCs w:val="22"/>
        </w:rPr>
        <w:t>(významným informačním systémem je informační systém spravovaný orgánem veřejné moci, který není kritickou informační infrastrukturou a u kterého jsou naplněna dopadová anebo oblastní určující kritéria dle vyhlášky č. 317/2014 Sb., o významných informačních systémech a jejich určujících kritériích)</w:t>
      </w:r>
    </w:p>
    <w:p w:rsidRPr="00EE0A45" w:rsidR="002F7144" w:rsidP="002F7144" w:rsidRDefault="002F7144">
      <w:pPr>
        <w:pStyle w:val="Odstavecseseznamem"/>
        <w:numPr>
          <w:ilvl w:val="0"/>
          <w:numId w:val="14"/>
        </w:numPr>
        <w:spacing w:after="120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A45">
        <w:rPr>
          <w:rFonts w:asciiTheme="minorHAnsi" w:hAnsiTheme="minorHAnsi" w:cstheme="minorHAnsi"/>
          <w:b/>
          <w:sz w:val="22"/>
          <w:szCs w:val="22"/>
        </w:rPr>
        <w:t>informační systémy kritické informační infrastruktury (IS KII)</w:t>
      </w:r>
    </w:p>
    <w:p w:rsidRPr="00EE0A45" w:rsidR="002F7144" w:rsidP="002F7144" w:rsidRDefault="002F7144">
      <w:pPr>
        <w:pStyle w:val="Odstavecseseznamem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EE0A45">
        <w:rPr>
          <w:rFonts w:asciiTheme="minorHAnsi" w:hAnsiTheme="minorHAnsi" w:cstheme="minorHAnsi"/>
          <w:i/>
          <w:sz w:val="22"/>
          <w:szCs w:val="22"/>
        </w:rPr>
        <w:t>(IS KII – kritickou informační infrastrukturou se rozumí prvek nebo systém prvků kritické infrastruktury v oblasti komunikační a informační systémy v oblasti kybernetické bezpečnosti.)</w:t>
      </w:r>
    </w:p>
    <w:p w:rsidRPr="00EE0A45" w:rsidR="002F7144" w:rsidP="002F7144" w:rsidRDefault="002F7144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b/>
          <w:sz w:val="22"/>
          <w:szCs w:val="22"/>
        </w:rPr>
        <w:t>provozní informační systémy (PIS)</w:t>
      </w:r>
      <w:r w:rsidRPr="00EE0A45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EE0A45" w:rsidR="002F7144" w:rsidP="002F7144" w:rsidRDefault="002F7144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zajišťují informační služby nutné pro vnitřní provoz organizace. </w:t>
      </w:r>
    </w:p>
    <w:p w:rsidRPr="00EE0A45" w:rsidR="002F7144" w:rsidP="002F7144" w:rsidRDefault="002F7144">
      <w:pPr>
        <w:pStyle w:val="Odstavecseseznamem"/>
        <w:rPr>
          <w:rFonts w:asciiTheme="minorHAnsi" w:hAnsiTheme="minorHAnsi" w:cstheme="minorHAnsi"/>
          <w:i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>(</w:t>
      </w:r>
      <w:r w:rsidRPr="00EE0A45">
        <w:rPr>
          <w:rFonts w:asciiTheme="minorHAnsi" w:hAnsiTheme="minorHAnsi" w:cstheme="minorHAnsi"/>
          <w:i/>
          <w:sz w:val="22"/>
          <w:szCs w:val="22"/>
        </w:rPr>
        <w:t>Podle novely zákona č. 365/2000 Sb., o informačních systémech veřejné správy, se nejrozšířenější provozní informační systémy podřizují režimu zákona č. 365/2000 Sb., o informačních systémech veřejné správy – nově zákonu podléhají informační systémy pro řízení a rozvoj lidských zdrojů, pro odměňování, elektronické systémy spisové služby, informační systémy pro vedení účetnictví nebo systémy elektronické pošty. Dále označeny jako „PIS/ISVS“)</w:t>
      </w:r>
    </w:p>
    <w:p w:rsidRPr="00EE0A45" w:rsidR="002F7144" w:rsidP="002F7144" w:rsidRDefault="002F7144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E0A45">
        <w:rPr>
          <w:rFonts w:asciiTheme="minorHAnsi" w:hAnsiTheme="minorHAnsi" w:cstheme="minorHAnsi"/>
          <w:b/>
          <w:sz w:val="22"/>
          <w:szCs w:val="22"/>
        </w:rPr>
        <w:t>suportivní</w:t>
      </w:r>
      <w:proofErr w:type="spellEnd"/>
      <w:r w:rsidRPr="00EE0A45">
        <w:rPr>
          <w:rFonts w:asciiTheme="minorHAnsi" w:hAnsiTheme="minorHAnsi" w:cstheme="minorHAnsi"/>
          <w:b/>
          <w:sz w:val="22"/>
          <w:szCs w:val="22"/>
        </w:rPr>
        <w:t xml:space="preserve"> informační systémy (SIS)</w:t>
      </w:r>
    </w:p>
    <w:p w:rsidR="00A06203" w:rsidP="0031217A" w:rsidRDefault="002F7144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 zajišťují podpůrné služby a informační činnosti nutné pro provoz ISVS a PIS.</w:t>
      </w:r>
    </w:p>
    <w:p w:rsidR="00B3440C" w:rsidP="0031217A" w:rsidRDefault="00B3440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B3440C" w:rsidP="00B3440C" w:rsidRDefault="00B3440C">
      <w:pPr>
        <w:pStyle w:val="1nadpis"/>
      </w:pPr>
      <w:r>
        <w:t>Závěr</w:t>
      </w:r>
    </w:p>
    <w:p w:rsidR="00B3440C" w:rsidP="00B3440C" w:rsidRDefault="00B3440C">
      <w:r>
        <w:t xml:space="preserve">Tento dokument byl vytvořen v souladu se strategickým dokumentem města Nový Bydžov </w:t>
      </w:r>
      <w:r>
        <w:br/>
      </w:r>
      <w:proofErr w:type="gramStart"/>
      <w:r w:rsidRPr="00B3440C">
        <w:rPr>
          <w:b/>
        </w:rPr>
        <w:t>NB06 - Informační</w:t>
      </w:r>
      <w:proofErr w:type="gramEnd"/>
      <w:r w:rsidRPr="00B3440C">
        <w:rPr>
          <w:b/>
        </w:rPr>
        <w:t xml:space="preserve"> koncepce města Nový Bydžov</w:t>
      </w:r>
      <w:r>
        <w:rPr>
          <w:b/>
        </w:rPr>
        <w:t>.</w:t>
      </w:r>
    </w:p>
    <w:p w:rsidRPr="00EE0A45" w:rsidR="00B3440C" w:rsidP="00B3440C" w:rsidRDefault="00B3440C">
      <w:r>
        <w:t>V informační koncepci jsou stanoveny dlouhodobé cíle v oblasti řízení a bezpečnosti informačního systému, dále jsou zde vymezeny obecné principy pořizování, vytváření a provozování informačních systémů a souvisejících ICT města a v neposlední řadě i konkrétní záměry rozvoje IS a záměry na pořízení nebo vytvoření nových IS a ICT.</w:t>
      </w:r>
    </w:p>
    <w:sectPr w:rsidRPr="00EE0A45" w:rsidR="00B3440C" w:rsidSect="002F71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1217A" w:rsidP="0034242C" w:rsidRDefault="0031217A">
      <w:pPr>
        <w:spacing w:before="0"/>
      </w:pPr>
      <w:r>
        <w:separator/>
      </w:r>
    </w:p>
  </w:endnote>
  <w:endnote w:type="continuationSeparator" w:id="0">
    <w:p w:rsidR="0031217A" w:rsidP="0034242C" w:rsidRDefault="0031217A">
      <w:pPr>
        <w:spacing w:before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4353310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3440C" w:rsidP="00B3440C" w:rsidRDefault="00B3440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1217A" w:rsidP="0034242C" w:rsidRDefault="0031217A">
      <w:pPr>
        <w:spacing w:before="0"/>
      </w:pPr>
      <w:r>
        <w:separator/>
      </w:r>
    </w:p>
  </w:footnote>
  <w:footnote w:type="continuationSeparator" w:id="0">
    <w:p w:rsidR="0031217A" w:rsidP="0034242C" w:rsidRDefault="0031217A">
      <w:pPr>
        <w:spacing w:before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E36A7E" w:rsidR="0031217A" w:rsidP="0034242C" w:rsidRDefault="0031217A">
    <w:pPr>
      <w:pStyle w:val="odstavec"/>
      <w:jc w:val="right"/>
      <w:rPr>
        <w:rFonts w:asciiTheme="minorHAnsi" w:hAnsiTheme="minorHAnsi" w:cstheme="minorHAnsi"/>
      </w:rPr>
    </w:pPr>
    <w:r w:rsidRPr="00E36A7E">
      <w:rPr>
        <w:rFonts w:asciiTheme="minorHAnsi" w:hAnsiTheme="minorHAnsi" w:cstheme="minorHAnsi"/>
      </w:rPr>
      <w:t>Příloha č. 4 - Výchozí stav ICT zadavatele</w:t>
    </w:r>
  </w:p>
  <w:p w:rsidR="0031217A" w:rsidRDefault="0031217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EB70E5D"/>
    <w:multiLevelType w:val="multilevel"/>
    <w:tmpl w:val="4DC85050"/>
    <w:lvl w:ilvl="0">
      <w:start w:val="1"/>
      <w:numFmt w:val="decimal"/>
      <w:pStyle w:val="1nadpis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nadpis"/>
      <w:lvlText w:val="%1.%2."/>
      <w:lvlJc w:val="left"/>
      <w:pPr>
        <w:ind w:left="792" w:hanging="432"/>
      </w:pPr>
      <w:rPr>
        <w:b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nadpis3"/>
      <w:lvlText w:val="%1.%2.%3."/>
      <w:lvlJc w:val="left"/>
      <w:pPr>
        <w:ind w:left="1224" w:hanging="504"/>
      </w:pPr>
      <w:rPr>
        <w:i w:val="fals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980C9B"/>
    <w:multiLevelType w:val="hybridMultilevel"/>
    <w:tmpl w:val="8438CE50"/>
    <w:lvl w:ilvl="0" w:tplc="8A3A6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B1548"/>
    <w:multiLevelType w:val="hybridMultilevel"/>
    <w:tmpl w:val="27B6CC8A"/>
    <w:lvl w:ilvl="0" w:tplc="65529B1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6231A7"/>
    <w:multiLevelType w:val="multilevel"/>
    <w:tmpl w:val="58BC7B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478D2730"/>
    <w:multiLevelType w:val="multilevel"/>
    <w:tmpl w:val="0EAC245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528180E"/>
    <w:multiLevelType w:val="hybridMultilevel"/>
    <w:tmpl w:val="4E14D0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8F03965"/>
    <w:multiLevelType w:val="hybridMultilevel"/>
    <w:tmpl w:val="2D48821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95B3FB8"/>
    <w:multiLevelType w:val="hybridMultilevel"/>
    <w:tmpl w:val="7AF4518C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C8760AC"/>
    <w:multiLevelType w:val="hybridMultilevel"/>
    <w:tmpl w:val="3CE204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E11A8"/>
    <w:multiLevelType w:val="hybridMultilevel"/>
    <w:tmpl w:val="F63E625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677C4272"/>
    <w:multiLevelType w:val="hybridMultilevel"/>
    <w:tmpl w:val="C70EF7C0"/>
    <w:lvl w:ilvl="0" w:tplc="F28ED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14AA2"/>
    <w:multiLevelType w:val="hybridMultilevel"/>
    <w:tmpl w:val="C98C756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75626F2C"/>
    <w:multiLevelType w:val="hybridMultilevel"/>
    <w:tmpl w:val="73E0D5A6"/>
    <w:lvl w:ilvl="0" w:tplc="6A1E8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300DB"/>
    <w:multiLevelType w:val="hybridMultilevel"/>
    <w:tmpl w:val="00AE50B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12"/>
  </w:num>
  <w:num w:numId="8">
    <w:abstractNumId w:val="10"/>
  </w:num>
  <w:num w:numId="9">
    <w:abstractNumId w:val="1"/>
  </w:num>
  <w:num w:numId="10">
    <w:abstractNumId w:val="13"/>
  </w:num>
  <w:num w:numId="11">
    <w:abstractNumId w:val="3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78"/>
    <w:rsid w:val="000626DD"/>
    <w:rsid w:val="000830BE"/>
    <w:rsid w:val="000E09F3"/>
    <w:rsid w:val="000F7FB2"/>
    <w:rsid w:val="0012751A"/>
    <w:rsid w:val="001361F0"/>
    <w:rsid w:val="00150784"/>
    <w:rsid w:val="00153462"/>
    <w:rsid w:val="00191C37"/>
    <w:rsid w:val="001C3C4B"/>
    <w:rsid w:val="002708B2"/>
    <w:rsid w:val="002710C7"/>
    <w:rsid w:val="00290627"/>
    <w:rsid w:val="002F7144"/>
    <w:rsid w:val="0031217A"/>
    <w:rsid w:val="0034242C"/>
    <w:rsid w:val="0037442E"/>
    <w:rsid w:val="003769A2"/>
    <w:rsid w:val="003E144D"/>
    <w:rsid w:val="003E7A92"/>
    <w:rsid w:val="004231AC"/>
    <w:rsid w:val="004B6D31"/>
    <w:rsid w:val="004C20A5"/>
    <w:rsid w:val="004F5E50"/>
    <w:rsid w:val="005D7879"/>
    <w:rsid w:val="006109A7"/>
    <w:rsid w:val="00694689"/>
    <w:rsid w:val="006A3EAC"/>
    <w:rsid w:val="0078740E"/>
    <w:rsid w:val="007D4DF3"/>
    <w:rsid w:val="00836E76"/>
    <w:rsid w:val="00871692"/>
    <w:rsid w:val="008846DB"/>
    <w:rsid w:val="008C3CEC"/>
    <w:rsid w:val="008D30B0"/>
    <w:rsid w:val="008E0878"/>
    <w:rsid w:val="009D70E7"/>
    <w:rsid w:val="00A06203"/>
    <w:rsid w:val="00A60049"/>
    <w:rsid w:val="00AD0DBF"/>
    <w:rsid w:val="00B07292"/>
    <w:rsid w:val="00B3440C"/>
    <w:rsid w:val="00B34C21"/>
    <w:rsid w:val="00C11EAC"/>
    <w:rsid w:val="00CB329F"/>
    <w:rsid w:val="00CC19CD"/>
    <w:rsid w:val="00CC227F"/>
    <w:rsid w:val="00CC7B83"/>
    <w:rsid w:val="00CD2BEC"/>
    <w:rsid w:val="00D075A7"/>
    <w:rsid w:val="00D95618"/>
    <w:rsid w:val="00DA4C6B"/>
    <w:rsid w:val="00DB389C"/>
    <w:rsid w:val="00DB503E"/>
    <w:rsid w:val="00DD758A"/>
    <w:rsid w:val="00DE242F"/>
    <w:rsid w:val="00DF414A"/>
    <w:rsid w:val="00DF7F83"/>
    <w:rsid w:val="00E36A7E"/>
    <w:rsid w:val="00EE0A45"/>
    <w:rsid w:val="00E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301E30B1-89D9-41D0-B006-3A5F654547B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B3440C"/>
    <w:pPr>
      <w:spacing w:before="120" w:after="0" w:line="240" w:lineRule="auto"/>
      <w:jc w:val="both"/>
    </w:pPr>
    <w:rPr>
      <w:rFonts w:eastAsia="Times New Roman" w:cs="Arial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36E76"/>
    <w:pPr>
      <w:keepNext/>
      <w:numPr>
        <w:numId w:val="11"/>
      </w:numPr>
      <w:spacing w:after="60" w:line="360" w:lineRule="auto"/>
      <w:ind w:left="431" w:hanging="431"/>
      <w:outlineLvl w:val="0"/>
    </w:pPr>
    <w:rPr>
      <w:rFonts w:ascii="Calibri" w:hAnsi="Calibri" w:cs="Times New Roman"/>
      <w:b/>
      <w:bCs/>
      <w:color w:val="4F81BD" w:themeColor="accent1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36E76"/>
    <w:pPr>
      <w:keepNext/>
      <w:keepLines/>
      <w:numPr>
        <w:ilvl w:val="1"/>
        <w:numId w:val="11"/>
      </w:numPr>
      <w:spacing w:before="200" w:after="120" w:line="360" w:lineRule="auto"/>
      <w:outlineLvl w:val="1"/>
    </w:pPr>
    <w:rPr>
      <w:rFonts w:ascii="Calibri" w:hAnsi="Calibri" w:cs="Times New Roman"/>
      <w:b/>
      <w:bCs/>
      <w:color w:val="4F81BD" w:themeColor="accent1"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qFormat/>
    <w:rsid w:val="00836E76"/>
    <w:pPr>
      <w:keepNext/>
      <w:numPr>
        <w:ilvl w:val="2"/>
        <w:numId w:val="11"/>
      </w:numPr>
      <w:tabs>
        <w:tab w:val="left" w:pos="142"/>
      </w:tabs>
      <w:spacing w:before="240" w:after="60" w:line="360" w:lineRule="auto"/>
      <w:outlineLvl w:val="2"/>
    </w:pPr>
    <w:rPr>
      <w:rFonts w:ascii="Calibri" w:hAnsi="Calibri" w:cs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36E76"/>
    <w:pPr>
      <w:keepNext/>
      <w:keepLines/>
      <w:numPr>
        <w:ilvl w:val="3"/>
        <w:numId w:val="11"/>
      </w:numPr>
      <w:spacing w:before="200" w:after="12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36E76"/>
    <w:pPr>
      <w:keepNext/>
      <w:keepLines/>
      <w:numPr>
        <w:ilvl w:val="4"/>
        <w:numId w:val="11"/>
      </w:numPr>
      <w:spacing w:before="40" w:after="120" w:line="360" w:lineRule="auto"/>
      <w:outlineLvl w:val="4"/>
    </w:pPr>
    <w:rPr>
      <w:rFonts w:asciiTheme="majorHAnsi" w:hAnsiTheme="majorHAnsi" w:eastAsiaTheme="majorEastAsia" w:cstheme="majorBidi"/>
      <w:color w:val="365F91" w:themeColor="accent1" w:themeShade="BF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36E76"/>
    <w:pPr>
      <w:keepNext/>
      <w:keepLines/>
      <w:numPr>
        <w:ilvl w:val="5"/>
        <w:numId w:val="11"/>
      </w:numPr>
      <w:spacing w:before="40" w:after="120" w:line="360" w:lineRule="auto"/>
      <w:outlineLvl w:val="5"/>
    </w:pPr>
    <w:rPr>
      <w:rFonts w:asciiTheme="majorHAnsi" w:hAnsiTheme="majorHAnsi" w:eastAsiaTheme="majorEastAsia" w:cstheme="majorBidi"/>
      <w:color w:val="243F60" w:themeColor="accent1" w:themeShade="7F"/>
      <w:szCs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36E76"/>
    <w:pPr>
      <w:keepNext/>
      <w:keepLines/>
      <w:numPr>
        <w:ilvl w:val="6"/>
        <w:numId w:val="11"/>
      </w:numPr>
      <w:spacing w:before="40" w:after="120" w:line="360" w:lineRule="auto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36E76"/>
    <w:pPr>
      <w:keepNext/>
      <w:keepLines/>
      <w:numPr>
        <w:ilvl w:val="7"/>
        <w:numId w:val="11"/>
      </w:numPr>
      <w:spacing w:before="40" w:after="120" w:line="360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36E76"/>
    <w:pPr>
      <w:keepNext/>
      <w:keepLines/>
      <w:numPr>
        <w:ilvl w:val="8"/>
        <w:numId w:val="11"/>
      </w:numPr>
      <w:spacing w:before="40" w:after="120" w:line="360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rpodstavec" w:customStyle="true">
    <w:name w:val="brpodstavec"/>
    <w:basedOn w:val="Normln"/>
    <w:link w:val="brpodstavecChar"/>
    <w:rsid w:val="008E0878"/>
    <w:pPr>
      <w:spacing w:before="100" w:beforeAutospacing="true" w:after="100" w:afterAutospacing="true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Odstavecseseznamem">
    <w:name w:val="List Paragraph"/>
    <w:aliases w:val="Odrážka vínová,Reference List,Nad,Odstavec cíl se seznamem,Odstavec se seznamem5,Odstavec_muj"/>
    <w:basedOn w:val="Normln"/>
    <w:link w:val="OdstavecseseznamemChar"/>
    <w:uiPriority w:val="99"/>
    <w:qFormat/>
    <w:rsid w:val="008E0878"/>
    <w:pPr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styleId="1nadpis" w:customStyle="true">
    <w:name w:val="1. nadpis"/>
    <w:basedOn w:val="brpodstavec"/>
    <w:qFormat/>
    <w:rsid w:val="0031217A"/>
    <w:pPr>
      <w:keepNext/>
      <w:numPr>
        <w:numId w:val="1"/>
      </w:numPr>
      <w:tabs>
        <w:tab w:val="left" w:pos="714"/>
      </w:tabs>
      <w:spacing w:before="120" w:beforeAutospacing="false" w:after="120" w:afterAutospacing="false" w:line="360" w:lineRule="auto"/>
      <w:ind w:left="357" w:hanging="357"/>
      <w:jc w:val="both"/>
    </w:pPr>
    <w:rPr>
      <w:rFonts w:cs="Times New Roman" w:asciiTheme="minorHAnsi" w:hAnsiTheme="minorHAnsi"/>
      <w:b/>
      <w:bCs/>
      <w:sz w:val="32"/>
    </w:rPr>
  </w:style>
  <w:style w:type="paragraph" w:styleId="odstavec" w:customStyle="true">
    <w:name w:val="odstavec"/>
    <w:basedOn w:val="brpodstavec"/>
    <w:link w:val="odstavecChar"/>
    <w:qFormat/>
    <w:rsid w:val="008E0878"/>
    <w:pPr>
      <w:spacing w:before="120" w:beforeAutospacing="false" w:after="120" w:afterAutospacing="false" w:line="360" w:lineRule="auto"/>
      <w:jc w:val="both"/>
    </w:pPr>
    <w:rPr>
      <w:rFonts w:ascii="Times New Roman" w:hAnsi="Times New Roman" w:cs="Times New Roman"/>
    </w:rPr>
  </w:style>
  <w:style w:type="character" w:styleId="brpodstavecChar" w:customStyle="true">
    <w:name w:val="brpodstavec Char"/>
    <w:basedOn w:val="Standardnpsmoodstavce"/>
    <w:link w:val="brpodstavec"/>
    <w:rsid w:val="008E0878"/>
    <w:rPr>
      <w:rFonts w:ascii="Arial Unicode MS" w:hAnsi="Arial Unicode MS" w:eastAsia="Arial Unicode MS" w:cs="Arial Unicode MS"/>
      <w:sz w:val="24"/>
      <w:szCs w:val="24"/>
      <w:lang w:eastAsia="cs-CZ"/>
    </w:rPr>
  </w:style>
  <w:style w:type="character" w:styleId="odstavecChar" w:customStyle="true">
    <w:name w:val="odstavec Char"/>
    <w:basedOn w:val="brpodstavecChar"/>
    <w:link w:val="odstavec"/>
    <w:rsid w:val="008E0878"/>
    <w:rPr>
      <w:rFonts w:ascii="Times New Roman" w:hAnsi="Times New Roman" w:eastAsia="Arial Unicode MS" w:cs="Times New Roman"/>
      <w:sz w:val="24"/>
      <w:szCs w:val="24"/>
      <w:lang w:eastAsia="cs-CZ"/>
    </w:rPr>
  </w:style>
  <w:style w:type="paragraph" w:styleId="2nadpis" w:customStyle="true">
    <w:name w:val="2. nadpis"/>
    <w:basedOn w:val="1nadpis"/>
    <w:link w:val="2nadpisChar"/>
    <w:qFormat/>
    <w:rsid w:val="0031217A"/>
    <w:pPr>
      <w:numPr>
        <w:ilvl w:val="1"/>
      </w:numPr>
      <w:tabs>
        <w:tab w:val="clear" w:pos="714"/>
        <w:tab w:val="left" w:pos="709"/>
      </w:tabs>
      <w:spacing w:before="240"/>
      <w:ind w:left="426" w:hanging="431"/>
    </w:pPr>
    <w:rPr>
      <w:sz w:val="28"/>
    </w:rPr>
  </w:style>
  <w:style w:type="character" w:styleId="OdstavecseseznamemChar" w:customStyle="true">
    <w:name w:val="Odstavec se seznamem Char"/>
    <w:aliases w:val="Odrážka vínová Char,Reference List Char,Nad Char,Odstavec cíl se seznamem Char,Odstavec se seznamem5 Char,Odstavec_muj Char"/>
    <w:basedOn w:val="Standardnpsmoodstavce"/>
    <w:link w:val="Odstavecseseznamem"/>
    <w:uiPriority w:val="99"/>
    <w:rsid w:val="008E0878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2nadpisChar" w:customStyle="true">
    <w:name w:val="2. nadpis Char"/>
    <w:basedOn w:val="Standardnpsmoodstavce"/>
    <w:link w:val="2nadpis"/>
    <w:rsid w:val="0031217A"/>
    <w:rPr>
      <w:rFonts w:eastAsia="Arial Unicode MS" w:cs="Times New Roman"/>
      <w:b/>
      <w:bCs/>
      <w:sz w:val="28"/>
      <w:szCs w:val="24"/>
      <w:lang w:eastAsia="cs-CZ"/>
    </w:rPr>
  </w:style>
  <w:style w:type="paragraph" w:styleId="tabulka-popisek" w:customStyle="true">
    <w:name w:val="tabulka - popisek"/>
    <w:basedOn w:val="brpodstavec"/>
    <w:link w:val="tabulka-popisekChar"/>
    <w:qFormat/>
    <w:rsid w:val="008E0878"/>
    <w:pPr>
      <w:spacing w:before="240" w:beforeAutospacing="false" w:after="0" w:afterAutospacing="false"/>
      <w:jc w:val="both"/>
    </w:pPr>
    <w:rPr>
      <w:rFonts w:ascii="Times New Roman" w:hAnsi="Times New Roman" w:cs="Times New Roman"/>
    </w:rPr>
  </w:style>
  <w:style w:type="character" w:styleId="tabulka-popisekChar" w:customStyle="true">
    <w:name w:val="tabulka - popisek Char"/>
    <w:basedOn w:val="brpodstavecChar"/>
    <w:link w:val="tabulka-popisek"/>
    <w:rsid w:val="008E0878"/>
    <w:rPr>
      <w:rFonts w:ascii="Times New Roman" w:hAnsi="Times New Roman" w:eastAsia="Arial Unicode MS" w:cs="Times New Roman"/>
      <w:sz w:val="24"/>
      <w:szCs w:val="24"/>
      <w:lang w:eastAsia="cs-CZ"/>
    </w:rPr>
  </w:style>
  <w:style w:type="paragraph" w:styleId="3nadpis3" w:customStyle="true">
    <w:name w:val="3 nadpis 3"/>
    <w:basedOn w:val="2nadpis"/>
    <w:qFormat/>
    <w:rsid w:val="008E0878"/>
    <w:pPr>
      <w:numPr>
        <w:ilvl w:val="2"/>
      </w:numPr>
      <w:tabs>
        <w:tab w:val="num" w:pos="360"/>
      </w:tabs>
      <w:spacing w:before="120"/>
      <w:ind w:left="1225" w:hanging="505"/>
    </w:pPr>
  </w:style>
  <w:style w:type="character" w:styleId="Nadpis1Char" w:customStyle="true">
    <w:name w:val="Nadpis 1 Char"/>
    <w:basedOn w:val="Standardnpsmoodstavce"/>
    <w:link w:val="Nadpis1"/>
    <w:uiPriority w:val="9"/>
    <w:rsid w:val="00836E76"/>
    <w:rPr>
      <w:rFonts w:ascii="Calibri" w:hAnsi="Calibri" w:eastAsia="Times New Roman" w:cs="Times New Roman"/>
      <w:b/>
      <w:bCs/>
      <w:color w:val="4F81BD" w:themeColor="accent1"/>
      <w:kern w:val="32"/>
      <w:sz w:val="36"/>
      <w:szCs w:val="32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rsid w:val="00836E76"/>
    <w:rPr>
      <w:rFonts w:ascii="Calibri" w:hAnsi="Calibri" w:eastAsia="Times New Roman" w:cs="Times New Roman"/>
      <w:b/>
      <w:bCs/>
      <w:color w:val="4F81BD" w:themeColor="accent1"/>
      <w:sz w:val="28"/>
      <w:szCs w:val="26"/>
      <w:lang w:eastAsia="cs-CZ"/>
    </w:rPr>
  </w:style>
  <w:style w:type="character" w:styleId="Nadpis3Char" w:customStyle="true">
    <w:name w:val="Nadpis 3 Char"/>
    <w:basedOn w:val="Standardnpsmoodstavce"/>
    <w:link w:val="Nadpis3"/>
    <w:rsid w:val="00836E76"/>
    <w:rPr>
      <w:rFonts w:ascii="Calibri" w:hAnsi="Calibri" w:eastAsia="Times New Roman" w:cs="Times New Roman"/>
      <w:b/>
      <w:bCs/>
      <w:sz w:val="24"/>
      <w:szCs w:val="24"/>
      <w:lang w:eastAsia="cs-CZ"/>
    </w:rPr>
  </w:style>
  <w:style w:type="character" w:styleId="Nadpis4Char" w:customStyle="true">
    <w:name w:val="Nadpis 4 Char"/>
    <w:basedOn w:val="Standardnpsmoodstavce"/>
    <w:link w:val="Nadpis4"/>
    <w:semiHidden/>
    <w:rsid w:val="00836E76"/>
    <w:rPr>
      <w:rFonts w:asciiTheme="majorHAnsi" w:hAnsiTheme="majorHAnsi" w:eastAsiaTheme="majorEastAsia" w:cstheme="majorBidi"/>
      <w:b/>
      <w:bCs/>
      <w:i/>
      <w:iCs/>
      <w:color w:val="4F81BD" w:themeColor="accent1"/>
      <w:szCs w:val="24"/>
      <w:lang w:eastAsia="cs-CZ"/>
    </w:rPr>
  </w:style>
  <w:style w:type="character" w:styleId="Nadpis5Char" w:customStyle="true">
    <w:name w:val="Nadpis 5 Char"/>
    <w:basedOn w:val="Standardnpsmoodstavce"/>
    <w:link w:val="Nadpis5"/>
    <w:semiHidden/>
    <w:rsid w:val="00836E76"/>
    <w:rPr>
      <w:rFonts w:asciiTheme="majorHAnsi" w:hAnsiTheme="majorHAnsi" w:eastAsiaTheme="majorEastAsia" w:cstheme="majorBidi"/>
      <w:color w:val="365F91" w:themeColor="accent1" w:themeShade="BF"/>
      <w:szCs w:val="24"/>
      <w:lang w:eastAsia="cs-CZ"/>
    </w:rPr>
  </w:style>
  <w:style w:type="character" w:styleId="Nadpis6Char" w:customStyle="true">
    <w:name w:val="Nadpis 6 Char"/>
    <w:basedOn w:val="Standardnpsmoodstavce"/>
    <w:link w:val="Nadpis6"/>
    <w:semiHidden/>
    <w:rsid w:val="00836E76"/>
    <w:rPr>
      <w:rFonts w:asciiTheme="majorHAnsi" w:hAnsiTheme="majorHAnsi" w:eastAsiaTheme="majorEastAsia" w:cstheme="majorBidi"/>
      <w:color w:val="243F60" w:themeColor="accent1" w:themeShade="7F"/>
      <w:szCs w:val="24"/>
      <w:lang w:eastAsia="cs-CZ"/>
    </w:rPr>
  </w:style>
  <w:style w:type="character" w:styleId="Nadpis7Char" w:customStyle="true">
    <w:name w:val="Nadpis 7 Char"/>
    <w:basedOn w:val="Standardnpsmoodstavce"/>
    <w:link w:val="Nadpis7"/>
    <w:semiHidden/>
    <w:rsid w:val="00836E76"/>
    <w:rPr>
      <w:rFonts w:asciiTheme="majorHAnsi" w:hAnsiTheme="majorHAnsi" w:eastAsiaTheme="majorEastAsia" w:cstheme="majorBidi"/>
      <w:i/>
      <w:iCs/>
      <w:color w:val="243F60" w:themeColor="accent1" w:themeShade="7F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semiHidden/>
    <w:rsid w:val="00836E76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cs-CZ"/>
    </w:rPr>
  </w:style>
  <w:style w:type="character" w:styleId="Nadpis9Char" w:customStyle="true">
    <w:name w:val="Nadpis 9 Char"/>
    <w:basedOn w:val="Standardnpsmoodstavce"/>
    <w:link w:val="Nadpis9"/>
    <w:semiHidden/>
    <w:rsid w:val="00836E7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cs-CZ"/>
    </w:rPr>
  </w:style>
  <w:style w:type="paragraph" w:styleId="Titulek">
    <w:name w:val="caption"/>
    <w:basedOn w:val="Normln"/>
    <w:next w:val="Normln"/>
    <w:qFormat/>
    <w:rsid w:val="00836E76"/>
    <w:pPr>
      <w:spacing w:after="120" w:line="360" w:lineRule="auto"/>
    </w:pPr>
    <w:rPr>
      <w:rFonts w:ascii="Calibri" w:hAnsi="Calibri" w:eastAsia="Cambria" w:cs="Times New Roman"/>
      <w:b/>
      <w:bCs/>
    </w:rPr>
  </w:style>
  <w:style w:type="table" w:styleId="Mkatabulky">
    <w:name w:val="Table Grid"/>
    <w:basedOn w:val="Normlntabulka"/>
    <w:rsid w:val="00836E76"/>
    <w:pPr>
      <w:spacing w:after="0" w:line="240" w:lineRule="auto"/>
    </w:pPr>
    <w:rPr>
      <w:rFonts w:ascii="Times New Roman" w:hAnsi="Times New Roman" w:eastAsia="Cambria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34242C"/>
    <w:pPr>
      <w:tabs>
        <w:tab w:val="center" w:pos="4536"/>
        <w:tab w:val="right" w:pos="9072"/>
      </w:tabs>
      <w:spacing w:before="0"/>
    </w:pPr>
  </w:style>
  <w:style w:type="character" w:styleId="ZhlavChar" w:customStyle="true">
    <w:name w:val="Záhlaví Char"/>
    <w:basedOn w:val="Standardnpsmoodstavce"/>
    <w:link w:val="Zhlav"/>
    <w:uiPriority w:val="99"/>
    <w:rsid w:val="0034242C"/>
    <w:rPr>
      <w:rFonts w:ascii="Arial" w:hAnsi="Arial" w:eastAsia="Times New Roman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242C"/>
    <w:pPr>
      <w:tabs>
        <w:tab w:val="center" w:pos="4536"/>
        <w:tab w:val="right" w:pos="9072"/>
      </w:tabs>
      <w:spacing w:before="0"/>
    </w:pPr>
  </w:style>
  <w:style w:type="character" w:styleId="ZpatChar" w:customStyle="true">
    <w:name w:val="Zápatí Char"/>
    <w:basedOn w:val="Standardnpsmoodstavce"/>
    <w:link w:val="Zpat"/>
    <w:uiPriority w:val="99"/>
    <w:rsid w:val="0034242C"/>
    <w:rPr>
      <w:rFonts w:ascii="Arial" w:hAnsi="Arial" w:eastAsia="Times New Roman" w:cs="Arial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59785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555710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6574119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26527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8"/>
    <Relationship Target="settings.xml" Type="http://schemas.openxmlformats.org/officeDocument/2006/relationships/settings" Id="rId3"/>
    <Relationship Target="media/image1.jpeg" Type="http://schemas.openxmlformats.org/officeDocument/2006/relationships/image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1.xml" Type="http://schemas.openxmlformats.org/officeDocument/2006/relationships/footer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</properties:Pages>
  <properties:Words>1855</properties:Words>
  <properties:Characters>10947</properties:Characters>
  <properties:Lines>91</properties:Lines>
  <properties:Paragraphs>25</properties:Paragraphs>
  <properties:TotalTime>1748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12777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2021-11-24T09:23:00Z</dcterms:created>
  <dc:creator/>
  <dc:description/>
  <cp:keywords/>
  <cp:lastModifiedBy/>
  <dcterms:modified xmlns:xsi="http://www.w3.org/2001/XMLSchema-instance" xsi:type="dcterms:W3CDTF">2021-12-22T11:40:00Z</dcterms:modified>
  <cp:revision>5</cp:revision>
  <dc:subject/>
  <dc:title/>
</cp:coreProperties>
</file>