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C616E2" w:rsidR="00B822FC" w:rsidP="00B822FC" w:rsidRDefault="00B822FC" w14:paraId="491B54FB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16E2">
        <w:rPr>
          <w:rFonts w:ascii="Arial" w:hAnsi="Arial" w:cs="Arial"/>
          <w:b/>
          <w:bCs/>
          <w:sz w:val="28"/>
          <w:szCs w:val="28"/>
        </w:rPr>
        <w:t>Příloha č. 5 zadávací dokumentace ve veřejné zakázce</w:t>
      </w:r>
    </w:p>
    <w:p w:rsidR="00B822FC" w:rsidP="00B822FC" w:rsidRDefault="00B822FC" w14:paraId="38980AFC" w14:textId="2BF72DA4">
      <w:pPr>
        <w:pStyle w:val="Nzev"/>
        <w:spacing w:before="0" w:after="120"/>
        <w:rPr>
          <w:bCs/>
          <w:sz w:val="28"/>
        </w:rPr>
      </w:pPr>
      <w:r w:rsidRPr="00C616E2">
        <w:rPr>
          <w:bCs/>
          <w:sz w:val="28"/>
        </w:rPr>
        <w:t>„</w:t>
      </w:r>
      <w:r w:rsidR="00F07548">
        <w:rPr>
          <w:bCs/>
          <w:sz w:val="28"/>
        </w:rPr>
        <w:t xml:space="preserve">Rozšíření </w:t>
      </w:r>
      <w:r w:rsidR="00DF0C46">
        <w:rPr>
          <w:bCs/>
          <w:sz w:val="28"/>
        </w:rPr>
        <w:t>Portál</w:t>
      </w:r>
      <w:r w:rsidR="00F07548">
        <w:rPr>
          <w:bCs/>
          <w:sz w:val="28"/>
        </w:rPr>
        <w:t>u občana</w:t>
      </w:r>
      <w:r w:rsidR="005F6D94">
        <w:rPr>
          <w:bCs/>
          <w:sz w:val="28"/>
        </w:rPr>
        <w:t xml:space="preserve"> II</w:t>
      </w:r>
      <w:r w:rsidRPr="00C616E2">
        <w:rPr>
          <w:bCs/>
          <w:sz w:val="28"/>
        </w:rPr>
        <w:t>“</w:t>
      </w:r>
    </w:p>
    <w:p w:rsidRPr="00F07548" w:rsidR="00F07548" w:rsidP="00F07548" w:rsidRDefault="00F07548" w14:paraId="2301EFC8" w14:textId="54E2A688">
      <w:pPr>
        <w:jc w:val="center"/>
        <w:rPr>
          <w:rFonts w:ascii="Arial" w:hAnsi="Arial" w:eastAsia="Times New Roman" w:cs="Arial"/>
          <w:b/>
          <w:bCs/>
          <w:sz w:val="28"/>
          <w:szCs w:val="20"/>
          <w:lang w:eastAsia="cs-CZ"/>
        </w:rPr>
      </w:pPr>
      <w:r w:rsidRPr="00F07548">
        <w:rPr>
          <w:rFonts w:ascii="Arial" w:hAnsi="Arial" w:eastAsia="Times New Roman" w:cs="Arial"/>
          <w:b/>
          <w:bCs/>
          <w:sz w:val="28"/>
          <w:szCs w:val="20"/>
          <w:lang w:eastAsia="cs-CZ"/>
        </w:rPr>
        <w:t>Technická specifikace</w:t>
      </w:r>
    </w:p>
    <w:p w:rsidRPr="00887D50" w:rsidR="0026565C" w:rsidP="0026565C" w:rsidRDefault="0026565C" w14:paraId="680C4ACF" w14:textId="77777777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Pr="00F07548" w:rsidR="00F07548" w:rsidP="00F07548" w:rsidRDefault="00F07548" w14:paraId="62D88ED3" w14:textId="4233BD82">
      <w:pPr>
        <w:pStyle w:val="Nadpis2"/>
        <w:rPr>
          <w:rFonts w:ascii="Arial" w:hAnsi="Arial" w:cs="Arial"/>
        </w:rPr>
      </w:pPr>
      <w:bookmarkStart w:name="_Toc535412351" w:id="0"/>
      <w:r w:rsidRPr="00F07548">
        <w:rPr>
          <w:rFonts w:ascii="Arial" w:hAnsi="Arial" w:cs="Arial"/>
        </w:rPr>
        <w:t xml:space="preserve">Výchozí stav </w:t>
      </w:r>
      <w:bookmarkEnd w:id="0"/>
      <w:r w:rsidR="00DF0C46">
        <w:rPr>
          <w:rFonts w:ascii="Arial" w:hAnsi="Arial" w:cs="Arial"/>
        </w:rPr>
        <w:t>Portál</w:t>
      </w:r>
      <w:r w:rsidRPr="00F07548">
        <w:rPr>
          <w:rFonts w:ascii="Arial" w:hAnsi="Arial" w:cs="Arial"/>
        </w:rPr>
        <w:t>u občana města Lovosice</w:t>
      </w:r>
    </w:p>
    <w:p w:rsidRPr="00F07548" w:rsidR="00F07548" w:rsidP="00F07548" w:rsidRDefault="00F07548" w14:paraId="28EC13E3" w14:textId="26AA9F77">
      <w:pPr>
        <w:jc w:val="both"/>
        <w:rPr>
          <w:rFonts w:ascii="Arial" w:hAnsi="Arial" w:cs="Arial"/>
          <w:sz w:val="20"/>
          <w:szCs w:val="20"/>
        </w:rPr>
      </w:pPr>
      <w:r w:rsidRPr="00F07548">
        <w:rPr>
          <w:rFonts w:ascii="Arial" w:hAnsi="Arial" w:cs="Arial"/>
          <w:sz w:val="20"/>
          <w:szCs w:val="20"/>
        </w:rPr>
        <w:t xml:space="preserve">Město Lovosice provozuje </w:t>
      </w:r>
      <w:r w:rsidR="00DF0C46">
        <w:rPr>
          <w:rFonts w:ascii="Arial" w:hAnsi="Arial" w:cs="Arial"/>
          <w:sz w:val="20"/>
          <w:szCs w:val="20"/>
        </w:rPr>
        <w:t>Portál</w:t>
      </w:r>
      <w:r w:rsidRPr="00F07548">
        <w:rPr>
          <w:rFonts w:ascii="Arial" w:hAnsi="Arial" w:cs="Arial"/>
          <w:sz w:val="20"/>
          <w:szCs w:val="20"/>
        </w:rPr>
        <w:t xml:space="preserve"> občana od roku 2020. Hlavní funkcionalitou </w:t>
      </w:r>
      <w:r w:rsidR="00DF0C46">
        <w:rPr>
          <w:rFonts w:ascii="Arial" w:hAnsi="Arial" w:cs="Arial"/>
          <w:sz w:val="20"/>
          <w:szCs w:val="20"/>
        </w:rPr>
        <w:t>Portál</w:t>
      </w:r>
      <w:r w:rsidRPr="00F07548">
        <w:rPr>
          <w:rFonts w:ascii="Arial" w:hAnsi="Arial" w:cs="Arial"/>
          <w:sz w:val="20"/>
          <w:szCs w:val="20"/>
        </w:rPr>
        <w:t xml:space="preserve">u je poplatková agenda a její úhrada prostřednictvím moderních platebních metod. </w:t>
      </w:r>
      <w:r w:rsidR="00DF0C46">
        <w:rPr>
          <w:rFonts w:ascii="Arial" w:hAnsi="Arial" w:cs="Arial"/>
          <w:sz w:val="20"/>
          <w:szCs w:val="20"/>
        </w:rPr>
        <w:t>Portál</w:t>
      </w:r>
      <w:r w:rsidRPr="00F07548">
        <w:rPr>
          <w:rFonts w:ascii="Arial" w:hAnsi="Arial" w:cs="Arial"/>
          <w:sz w:val="20"/>
          <w:szCs w:val="20"/>
        </w:rPr>
        <w:t xml:space="preserve"> občana byl dodán společností MARBES s.r.o. </w:t>
      </w:r>
      <w:r w:rsidR="00DF0C46">
        <w:rPr>
          <w:rFonts w:ascii="Arial" w:hAnsi="Arial" w:cs="Arial"/>
          <w:sz w:val="20"/>
          <w:szCs w:val="20"/>
        </w:rPr>
        <w:t>Portál</w:t>
      </w:r>
      <w:r w:rsidRPr="00F07548">
        <w:rPr>
          <w:rFonts w:ascii="Arial" w:hAnsi="Arial" w:cs="Arial"/>
          <w:sz w:val="20"/>
          <w:szCs w:val="20"/>
        </w:rPr>
        <w:t xml:space="preserve"> je provozován v datovém centrum obce. </w:t>
      </w:r>
    </w:p>
    <w:p w:rsidRPr="00F07548" w:rsidR="00F07548" w:rsidP="00F07548" w:rsidRDefault="00F07548" w14:paraId="03C3C023" w14:textId="7289C7C2">
      <w:pPr>
        <w:pStyle w:val="Nadpis2"/>
        <w:rPr>
          <w:rFonts w:ascii="Arial" w:hAnsi="Arial" w:cs="Arial"/>
        </w:rPr>
      </w:pPr>
      <w:r w:rsidRPr="00F07548">
        <w:rPr>
          <w:rFonts w:ascii="Arial" w:hAnsi="Arial" w:cs="Arial"/>
        </w:rPr>
        <w:t xml:space="preserve">Specifikace požadavků na rozšíření </w:t>
      </w:r>
      <w:r w:rsidR="00DF0C46">
        <w:rPr>
          <w:rFonts w:ascii="Arial" w:hAnsi="Arial" w:cs="Arial"/>
        </w:rPr>
        <w:t>Portál</w:t>
      </w:r>
      <w:r w:rsidRPr="00F07548">
        <w:rPr>
          <w:rFonts w:ascii="Arial" w:hAnsi="Arial" w:cs="Arial"/>
        </w:rPr>
        <w:t>u</w:t>
      </w:r>
    </w:p>
    <w:p w:rsidRPr="00F07548" w:rsidR="00F07548" w:rsidP="00F07548" w:rsidRDefault="00F07548" w14:paraId="07AEBBEF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46"/>
        <w:gridCol w:w="3609"/>
        <w:gridCol w:w="994"/>
        <w:gridCol w:w="2286"/>
      </w:tblGrid>
      <w:tr w:rsidRPr="00E82B81" w:rsidR="00F07548" w:rsidTr="00DF0C46" w14:paraId="3EDD6822" w14:textId="77777777">
        <w:tc>
          <w:tcPr>
            <w:tcW w:w="8935" w:type="dxa"/>
            <w:gridSpan w:val="4"/>
            <w:shd w:val="clear" w:color="auto" w:fill="D9E2F3" w:themeFill="accent1" w:themeFillTint="33"/>
          </w:tcPr>
          <w:p w:rsidRPr="00E82B81" w:rsidR="00F07548" w:rsidP="00E82B81" w:rsidRDefault="00DF0C46" w14:paraId="556C82A9" w14:textId="5602FBAA">
            <w:pPr>
              <w:pStyle w:val="Nzev"/>
            </w:pPr>
            <w:r>
              <w:t>PORTÁL</w:t>
            </w:r>
            <w:r w:rsidRPr="00E82B81" w:rsidR="00E82B81">
              <w:t xml:space="preserve"> OBČANA</w:t>
            </w:r>
          </w:p>
        </w:tc>
      </w:tr>
      <w:tr w:rsidRPr="00E82B81" w:rsidR="00F07548" w:rsidTr="00DF0C46" w14:paraId="73B7BA6D" w14:textId="77777777">
        <w:tc>
          <w:tcPr>
            <w:tcW w:w="2046" w:type="dxa"/>
            <w:shd w:val="clear" w:color="auto" w:fill="D9E2F3" w:themeFill="accent1" w:themeFillTint="33"/>
          </w:tcPr>
          <w:p w:rsidRPr="00E82B81" w:rsidR="00F07548" w:rsidP="00E82B81" w:rsidRDefault="00F07548" w14:paraId="4EF0B8EB" w14:textId="777777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82B81">
              <w:rPr>
                <w:rFonts w:ascii="Arial" w:hAnsi="Arial" w:cs="Arial"/>
                <w:b/>
                <w:bCs/>
              </w:rPr>
              <w:t>Položka/Funkce</w:t>
            </w:r>
          </w:p>
        </w:tc>
        <w:tc>
          <w:tcPr>
            <w:tcW w:w="3609" w:type="dxa"/>
            <w:shd w:val="clear" w:color="auto" w:fill="D9E2F3" w:themeFill="accent1" w:themeFillTint="33"/>
          </w:tcPr>
          <w:p w:rsidRPr="00E82B81" w:rsidR="00F07548" w:rsidP="00E82B81" w:rsidRDefault="00F07548" w14:paraId="03F2DDAD" w14:textId="777777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82B81">
              <w:rPr>
                <w:rFonts w:ascii="Arial" w:hAnsi="Arial" w:cs="Arial"/>
                <w:b/>
                <w:bCs/>
              </w:rPr>
              <w:t>Detailní funkce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:rsidRPr="00E82B81" w:rsidR="00F07548" w:rsidP="00E82B81" w:rsidRDefault="00F07548" w14:paraId="172EE235" w14:textId="777777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82B81">
              <w:rPr>
                <w:rFonts w:ascii="Arial" w:hAnsi="Arial" w:cs="Arial"/>
                <w:b/>
                <w:bCs/>
              </w:rPr>
              <w:t>ANO/NE</w:t>
            </w:r>
          </w:p>
        </w:tc>
        <w:tc>
          <w:tcPr>
            <w:tcW w:w="2286" w:type="dxa"/>
            <w:shd w:val="clear" w:color="auto" w:fill="D9E2F3" w:themeFill="accent1" w:themeFillTint="33"/>
          </w:tcPr>
          <w:p w:rsidRPr="00E82B81" w:rsidR="00F07548" w:rsidP="00E82B81" w:rsidRDefault="00F07548" w14:paraId="7CA8D31B" w14:textId="777777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82B81">
              <w:rPr>
                <w:rFonts w:ascii="Arial" w:hAnsi="Arial" w:cs="Arial"/>
                <w:b/>
                <w:bCs/>
              </w:rPr>
              <w:t>Detailní popis řešení</w:t>
            </w:r>
          </w:p>
        </w:tc>
      </w:tr>
      <w:tr w:rsidRPr="00F07548" w:rsidR="00F07548" w:rsidTr="00DF0C46" w14:paraId="7205BD54" w14:textId="77777777">
        <w:tc>
          <w:tcPr>
            <w:tcW w:w="2046" w:type="dxa"/>
            <w:vMerge w:val="restart"/>
          </w:tcPr>
          <w:p w:rsidRPr="00F07548" w:rsidR="00F07548" w:rsidP="00E82B81" w:rsidRDefault="00F07548" w14:paraId="6A77DF1B" w14:textId="2C3B3466">
            <w:pPr>
              <w:spacing w:before="60" w:after="60"/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F07548">
              <w:rPr>
                <w:rFonts w:ascii="Arial" w:hAnsi="Arial" w:cs="Arial"/>
                <w:b/>
                <w:bCs/>
                <w:color w:val="000000"/>
              </w:rPr>
              <w:t xml:space="preserve">Oblast "Zjednodušení registrace a přihlášení občana" </w:t>
            </w:r>
            <w:r w:rsidR="00DF0C46">
              <w:rPr>
                <w:rFonts w:ascii="Arial" w:hAnsi="Arial" w:cs="Arial"/>
                <w:b/>
                <w:bCs/>
                <w:color w:val="000000"/>
              </w:rPr>
              <w:t>Portál</w:t>
            </w:r>
            <w:r w:rsidRPr="00F07548">
              <w:rPr>
                <w:rFonts w:ascii="Arial" w:hAnsi="Arial" w:cs="Arial"/>
                <w:b/>
                <w:bCs/>
                <w:color w:val="000000"/>
              </w:rPr>
              <w:t>u občana</w:t>
            </w:r>
          </w:p>
          <w:p w:rsidRPr="00F07548" w:rsidR="00F07548" w:rsidP="00E82B81" w:rsidRDefault="00F07548" w14:paraId="13B70439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="00E82B81" w:rsidP="00E82B81" w:rsidRDefault="00F07548" w14:paraId="4CA941D5" w14:textId="59B89A60">
            <w:pPr>
              <w:spacing w:before="60" w:after="60"/>
              <w:rPr>
                <w:rFonts w:ascii="Arial" w:hAnsi="Arial" w:cs="Arial"/>
              </w:rPr>
            </w:pPr>
            <w:r w:rsidRPr="00F07548">
              <w:rPr>
                <w:rFonts w:ascii="Arial" w:hAnsi="Arial" w:cs="Arial"/>
              </w:rPr>
              <w:t xml:space="preserve">Občan se do </w:t>
            </w:r>
            <w:r w:rsidR="00DF0C46">
              <w:rPr>
                <w:rFonts w:ascii="Arial" w:hAnsi="Arial" w:cs="Arial"/>
              </w:rPr>
              <w:t>Portál</w:t>
            </w:r>
            <w:r w:rsidRPr="00F07548">
              <w:rPr>
                <w:rFonts w:ascii="Arial" w:hAnsi="Arial" w:cs="Arial"/>
              </w:rPr>
              <w:t>u poprvé přihlašuje bez registrace (při prvním přihlášení je automaticky vytvořen účet, ke kterému se následně vždy přihlásí)</w:t>
            </w:r>
            <w:r w:rsidR="00E82B81">
              <w:rPr>
                <w:rFonts w:ascii="Arial" w:hAnsi="Arial" w:cs="Arial"/>
              </w:rPr>
              <w:t>.</w:t>
            </w:r>
          </w:p>
          <w:p w:rsidR="00E82B81" w:rsidP="00E82B81" w:rsidRDefault="00F07548" w14:paraId="6B729335" w14:textId="2DC5B4A2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250" w:hanging="186"/>
              <w:rPr>
                <w:rFonts w:ascii="Arial" w:hAnsi="Arial" w:cs="Arial"/>
              </w:rPr>
            </w:pPr>
            <w:r w:rsidRPr="00E82B81">
              <w:rPr>
                <w:rFonts w:ascii="Arial" w:hAnsi="Arial" w:cs="Arial"/>
              </w:rPr>
              <w:t>Vytvořený účet je vždy ověřen prostřednictvím základních registrů</w:t>
            </w:r>
            <w:r w:rsidR="00E82B81">
              <w:rPr>
                <w:rFonts w:ascii="Arial" w:hAnsi="Arial" w:cs="Arial"/>
              </w:rPr>
              <w:t>.</w:t>
            </w:r>
          </w:p>
          <w:p w:rsidR="00E82B81" w:rsidP="00E82B81" w:rsidRDefault="00F07548" w14:paraId="7FA03054" w14:textId="77777777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250" w:hanging="186"/>
              <w:rPr>
                <w:rFonts w:ascii="Arial" w:hAnsi="Arial" w:cs="Arial"/>
              </w:rPr>
            </w:pPr>
            <w:r w:rsidRPr="00E82B81">
              <w:rPr>
                <w:rFonts w:ascii="Arial" w:hAnsi="Arial" w:cs="Arial"/>
              </w:rPr>
              <w:t>K vytvořenému účtu je následně možné se přihlásit kteroukoliv z identit:</w:t>
            </w:r>
          </w:p>
          <w:p w:rsidR="00E82B81" w:rsidP="00E82B81" w:rsidRDefault="00E82B81" w14:paraId="15295968" w14:textId="77777777">
            <w:pPr>
              <w:pStyle w:val="Odstavecseseznamem"/>
              <w:numPr>
                <w:ilvl w:val="1"/>
                <w:numId w:val="12"/>
              </w:numPr>
              <w:spacing w:before="60" w:after="60"/>
              <w:ind w:left="675" w:hanging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82B81" w:rsidR="00F07548">
              <w:rPr>
                <w:rFonts w:ascii="Arial" w:hAnsi="Arial" w:cs="Arial"/>
              </w:rPr>
              <w:t>řihlášení pomocí NIA (včetně Bank ID);</w:t>
            </w:r>
          </w:p>
          <w:p w:rsidRPr="00E82B81" w:rsidR="00F07548" w:rsidP="00E82B81" w:rsidRDefault="00E82B81" w14:paraId="38A5D625" w14:textId="3B1A963F">
            <w:pPr>
              <w:pStyle w:val="Odstavecseseznamem"/>
              <w:numPr>
                <w:ilvl w:val="1"/>
                <w:numId w:val="12"/>
              </w:numPr>
              <w:spacing w:before="60" w:after="60"/>
              <w:ind w:left="675" w:hanging="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82B81" w:rsidR="00F07548">
              <w:rPr>
                <w:rFonts w:ascii="Arial" w:hAnsi="Arial" w:cs="Arial"/>
              </w:rPr>
              <w:t>řihlášení pomocí ISDS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4" w:type="dxa"/>
          </w:tcPr>
          <w:p w:rsidRPr="00F07548" w:rsidR="00F07548" w:rsidP="00E82B81" w:rsidRDefault="00F07548" w14:paraId="4D152980" w14:textId="77777777">
            <w:pPr>
              <w:shd w:val="clear" w:color="auto" w:fill="FFFFFF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3FE5E818" w14:textId="77777777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Pr="00F07548" w:rsidR="00F07548" w:rsidTr="00DF0C46" w14:paraId="37F0C223" w14:textId="77777777">
        <w:tc>
          <w:tcPr>
            <w:tcW w:w="2046" w:type="dxa"/>
            <w:vMerge/>
          </w:tcPr>
          <w:p w:rsidRPr="00F07548" w:rsidR="00F07548" w:rsidP="00E82B81" w:rsidRDefault="00F07548" w14:paraId="613D2CD6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02EDE82F" w14:textId="234F94DC">
            <w:pPr>
              <w:spacing w:before="60" w:after="60"/>
              <w:rPr>
                <w:rFonts w:ascii="Arial" w:hAnsi="Arial" w:cs="Arial"/>
              </w:rPr>
            </w:pPr>
            <w:r w:rsidRPr="00F07548">
              <w:rPr>
                <w:rFonts w:ascii="Arial" w:hAnsi="Arial" w:cs="Arial"/>
              </w:rPr>
              <w:t xml:space="preserve">Rozšíření stávajících možností registrace nebo přihlášení do </w:t>
            </w:r>
            <w:r w:rsidR="00DF0C46">
              <w:rPr>
                <w:rFonts w:ascii="Arial" w:hAnsi="Arial" w:cs="Arial"/>
              </w:rPr>
              <w:t>Portál</w:t>
            </w:r>
            <w:r w:rsidRPr="00F07548">
              <w:rPr>
                <w:rFonts w:ascii="Arial" w:hAnsi="Arial" w:cs="Arial"/>
              </w:rPr>
              <w:t>u občana o možnost ověření identity občana pomocí ISDS (informačního systému datových schránek).</w:t>
            </w:r>
          </w:p>
        </w:tc>
        <w:tc>
          <w:tcPr>
            <w:tcW w:w="994" w:type="dxa"/>
          </w:tcPr>
          <w:p w:rsidRPr="00F07548" w:rsidR="00F07548" w:rsidP="00E82B81" w:rsidRDefault="00F07548" w14:paraId="7BF10FC3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69F6B0FD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24658BCB" w14:textId="77777777">
        <w:tc>
          <w:tcPr>
            <w:tcW w:w="2046" w:type="dxa"/>
            <w:vMerge/>
          </w:tcPr>
          <w:p w:rsidRPr="00F07548" w:rsidR="00F07548" w:rsidP="00E82B81" w:rsidRDefault="00F07548" w14:paraId="2A548598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0795D9A3" w14:textId="27C8EE3F">
            <w:pPr>
              <w:spacing w:before="60" w:after="60"/>
              <w:rPr>
                <w:rFonts w:ascii="Arial" w:hAnsi="Arial" w:cs="Arial"/>
              </w:rPr>
            </w:pPr>
            <w:r w:rsidRPr="00F07548">
              <w:rPr>
                <w:rFonts w:ascii="Arial" w:hAnsi="Arial" w:cs="Arial"/>
              </w:rPr>
              <w:t xml:space="preserve">Výše uvedené autentizační prostředky budou integrovány do stávajícího rozhraní </w:t>
            </w:r>
            <w:r w:rsidR="00DF0C46">
              <w:rPr>
                <w:rFonts w:ascii="Arial" w:hAnsi="Arial" w:cs="Arial"/>
              </w:rPr>
              <w:t>Portál</w:t>
            </w:r>
            <w:r w:rsidRPr="00F07548">
              <w:rPr>
                <w:rFonts w:ascii="Arial" w:hAnsi="Arial" w:cs="Arial"/>
              </w:rPr>
              <w:t>u občana.</w:t>
            </w:r>
          </w:p>
        </w:tc>
        <w:tc>
          <w:tcPr>
            <w:tcW w:w="994" w:type="dxa"/>
          </w:tcPr>
          <w:p w:rsidRPr="00F07548" w:rsidR="00F07548" w:rsidP="00E82B81" w:rsidRDefault="00F07548" w14:paraId="1ACAE549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74CAD54B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19D990D5" w14:textId="77777777">
        <w:tc>
          <w:tcPr>
            <w:tcW w:w="2046" w:type="dxa"/>
          </w:tcPr>
          <w:p w:rsidRPr="00F07548" w:rsidR="00F07548" w:rsidP="00E82B81" w:rsidRDefault="00F07548" w14:paraId="66B0B3CD" w14:textId="645DD7C8">
            <w:pPr>
              <w:spacing w:before="60" w:after="60"/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F07548">
              <w:rPr>
                <w:rFonts w:ascii="Arial" w:hAnsi="Arial" w:cs="Arial"/>
                <w:b/>
                <w:bCs/>
                <w:color w:val="000000"/>
              </w:rPr>
              <w:t xml:space="preserve">Oblast "Moje závazky" </w:t>
            </w:r>
            <w:r w:rsidR="00DF0C46">
              <w:rPr>
                <w:rFonts w:ascii="Arial" w:hAnsi="Arial" w:cs="Arial"/>
                <w:b/>
                <w:bCs/>
                <w:color w:val="000000"/>
              </w:rPr>
              <w:t>Portál</w:t>
            </w:r>
            <w:r w:rsidRPr="00F07548">
              <w:rPr>
                <w:rFonts w:ascii="Arial" w:hAnsi="Arial" w:cs="Arial"/>
                <w:b/>
                <w:bCs/>
                <w:color w:val="000000"/>
              </w:rPr>
              <w:t>u občana</w:t>
            </w:r>
          </w:p>
          <w:p w:rsidRPr="00F07548" w:rsidR="00F07548" w:rsidP="00E82B81" w:rsidRDefault="00F07548" w14:paraId="23EE9D23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="00E82B81" w:rsidP="00E82B81" w:rsidRDefault="00F07548" w14:paraId="756E4454" w14:textId="5342F2CF">
            <w:pPr>
              <w:spacing w:before="60" w:after="60"/>
              <w:rPr>
                <w:rFonts w:ascii="Arial" w:hAnsi="Arial" w:cs="Arial"/>
              </w:rPr>
            </w:pPr>
            <w:r w:rsidRPr="00F07548">
              <w:rPr>
                <w:rFonts w:ascii="Arial" w:hAnsi="Arial" w:cs="Arial"/>
              </w:rPr>
              <w:t xml:space="preserve">Rozšíření stávající implementace </w:t>
            </w:r>
            <w:r w:rsidR="00DF0C46">
              <w:rPr>
                <w:rFonts w:ascii="Arial" w:hAnsi="Arial" w:cs="Arial"/>
              </w:rPr>
              <w:t>Portál</w:t>
            </w:r>
            <w:r w:rsidRPr="00F07548">
              <w:rPr>
                <w:rFonts w:ascii="Arial" w:hAnsi="Arial" w:cs="Arial"/>
              </w:rPr>
              <w:t xml:space="preserve">u občana, respektive její části „Moje závazky“, o možnost konfigurace dalších typů závazků, které bude možné pro občana načítat pomocí integračního rozhraní z ekonomického systému GINIS DDP. </w:t>
            </w:r>
          </w:p>
          <w:p w:rsidRPr="00F07548" w:rsidR="00F07548" w:rsidP="00E82B81" w:rsidRDefault="00E82B81" w14:paraId="140EFD24" w14:textId="0D5AB7F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07548" w:rsidR="00F07548">
              <w:rPr>
                <w:rFonts w:ascii="Arial" w:hAnsi="Arial" w:cs="Arial"/>
              </w:rPr>
              <w:t xml:space="preserve">ypy závazků bude možné operativně nastavit v </w:t>
            </w:r>
            <w:r w:rsidR="00DF0C46">
              <w:rPr>
                <w:rFonts w:ascii="Arial" w:hAnsi="Arial" w:cs="Arial"/>
              </w:rPr>
              <w:t>Portál</w:t>
            </w:r>
            <w:r w:rsidRPr="00F07548" w:rsidR="00F07548">
              <w:rPr>
                <w:rFonts w:ascii="Arial" w:hAnsi="Arial" w:cs="Arial"/>
              </w:rPr>
              <w:t xml:space="preserve">u občana bez nutnosti úpravy programového kódu </w:t>
            </w:r>
            <w:r w:rsidR="00DF0C46">
              <w:rPr>
                <w:rFonts w:ascii="Arial" w:hAnsi="Arial" w:cs="Arial"/>
              </w:rPr>
              <w:t>Portál</w:t>
            </w:r>
            <w:r w:rsidRPr="00F07548" w:rsidR="00F07548">
              <w:rPr>
                <w:rFonts w:ascii="Arial" w:hAnsi="Arial" w:cs="Arial"/>
              </w:rPr>
              <w:t>u občana a instalace jeho nové verze.</w:t>
            </w:r>
          </w:p>
        </w:tc>
        <w:tc>
          <w:tcPr>
            <w:tcW w:w="994" w:type="dxa"/>
          </w:tcPr>
          <w:p w:rsidRPr="00F07548" w:rsidR="00F07548" w:rsidP="00E82B81" w:rsidRDefault="00F07548" w14:paraId="1E12151D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36C0B481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6BE34CDA" w14:textId="77777777">
        <w:tc>
          <w:tcPr>
            <w:tcW w:w="2046" w:type="dxa"/>
          </w:tcPr>
          <w:p w:rsidRPr="00F07548" w:rsidR="00F07548" w:rsidP="00E82B81" w:rsidRDefault="00F07548" w14:paraId="4A95F84C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="00E82B81" w:rsidP="00E82B81" w:rsidRDefault="00F07548" w14:paraId="2F25BEEF" w14:textId="4CFDE7E1">
            <w:pPr>
              <w:spacing w:before="60" w:after="60"/>
              <w:rPr>
                <w:rFonts w:ascii="Arial" w:hAnsi="Arial" w:cs="Arial"/>
              </w:rPr>
            </w:pPr>
            <w:r w:rsidRPr="00F07548">
              <w:rPr>
                <w:rFonts w:ascii="Arial" w:hAnsi="Arial" w:cs="Arial"/>
              </w:rPr>
              <w:t xml:space="preserve">Registrovaný občan (uživatel </w:t>
            </w:r>
            <w:r w:rsidR="00DF0C46">
              <w:rPr>
                <w:rFonts w:ascii="Arial" w:hAnsi="Arial" w:cs="Arial"/>
              </w:rPr>
              <w:t>Portál</w:t>
            </w:r>
            <w:r w:rsidRPr="00F07548">
              <w:rPr>
                <w:rFonts w:ascii="Arial" w:hAnsi="Arial" w:cs="Arial"/>
              </w:rPr>
              <w:t xml:space="preserve">u) bude mít po přihlášení přehled o </w:t>
            </w:r>
            <w:r w:rsidRPr="00F07548">
              <w:rPr>
                <w:rFonts w:ascii="Arial" w:hAnsi="Arial" w:cs="Arial"/>
              </w:rPr>
              <w:lastRenderedPageBreak/>
              <w:t xml:space="preserve">všech svých závazcích dle nastavené konfigurace typu závazků. </w:t>
            </w:r>
          </w:p>
          <w:p w:rsidRPr="00F07548" w:rsidR="00F07548" w:rsidP="00E82B81" w:rsidRDefault="00F07548" w14:paraId="766348EF" w14:textId="5EAD0856">
            <w:pPr>
              <w:spacing w:before="60" w:after="60"/>
              <w:rPr>
                <w:rFonts w:ascii="Arial" w:hAnsi="Arial" w:cs="Arial"/>
              </w:rPr>
            </w:pPr>
            <w:r w:rsidRPr="00F07548">
              <w:rPr>
                <w:rFonts w:ascii="Arial" w:hAnsi="Arial" w:cs="Arial"/>
              </w:rPr>
              <w:t>Všechny tyto závazky bude možné hradit platební bránou nebo bude možné načíst platební informace prostřednictvím QR kódu.</w:t>
            </w:r>
          </w:p>
        </w:tc>
        <w:tc>
          <w:tcPr>
            <w:tcW w:w="994" w:type="dxa"/>
          </w:tcPr>
          <w:p w:rsidRPr="00F07548" w:rsidR="00F07548" w:rsidP="00E82B81" w:rsidRDefault="00F07548" w14:paraId="59F1E40C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2FC67781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Pr="00F07548" w:rsidR="00DF0C46" w:rsidTr="00DF0C46" w14:paraId="6E5EB1DE" w14:textId="77777777">
        <w:tc>
          <w:tcPr>
            <w:tcW w:w="2046" w:type="dxa"/>
            <w:vMerge w:val="restart"/>
          </w:tcPr>
          <w:p w:rsidRPr="00F07548" w:rsidR="00DF0C46" w:rsidP="00E82B81" w:rsidRDefault="00DF0C46" w14:paraId="0A0841DB" w14:textId="2384B66F">
            <w:pPr>
              <w:spacing w:before="60" w:after="60"/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F07548">
              <w:rPr>
                <w:rFonts w:ascii="Arial" w:hAnsi="Arial" w:cs="Arial"/>
                <w:b/>
                <w:bCs/>
                <w:color w:val="000000"/>
              </w:rPr>
              <w:t xml:space="preserve">Oblast "Životní situace a aktuality" </w:t>
            </w:r>
            <w:r>
              <w:rPr>
                <w:rFonts w:ascii="Arial" w:hAnsi="Arial" w:cs="Arial"/>
                <w:b/>
                <w:bCs/>
                <w:color w:val="000000"/>
              </w:rPr>
              <w:t>Portál</w:t>
            </w:r>
            <w:r w:rsidRPr="00F07548">
              <w:rPr>
                <w:rFonts w:ascii="Arial" w:hAnsi="Arial" w:cs="Arial"/>
                <w:b/>
                <w:bCs/>
                <w:color w:val="000000"/>
              </w:rPr>
              <w:t>u občana</w:t>
            </w:r>
          </w:p>
        </w:tc>
        <w:tc>
          <w:tcPr>
            <w:tcW w:w="3609" w:type="dxa"/>
          </w:tcPr>
          <w:p w:rsidR="00DF0C46" w:rsidP="00E82B81" w:rsidRDefault="00DF0C46" w14:paraId="575DC625" w14:textId="0A80C320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 xml:space="preserve"> občana bude rozšířen o modul životních situací a aktualit, který bude integrován do stávajícího rozhraní </w:t>
            </w:r>
            <w:r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 xml:space="preserve">u občana. </w:t>
            </w:r>
          </w:p>
          <w:p w:rsidRPr="00F07548" w:rsidR="00DF0C46" w:rsidP="00E82B81" w:rsidRDefault="00DF0C46" w14:paraId="79D32F5E" w14:textId="57A05ABC">
            <w:pPr>
              <w:spacing w:before="60" w:after="60"/>
              <w:rPr>
                <w:rFonts w:ascii="Arial" w:hAnsi="Arial" w:eastAsia="Times New Roman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Editace těchto modulů bude umožněna prostřednictvím redakčního systému, který bude integrován do back office aplikace pro správu </w:t>
            </w:r>
            <w:r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>u.</w:t>
            </w:r>
          </w:p>
        </w:tc>
        <w:tc>
          <w:tcPr>
            <w:tcW w:w="994" w:type="dxa"/>
          </w:tcPr>
          <w:p w:rsidRPr="00F07548" w:rsidR="00DF0C46" w:rsidP="00E82B81" w:rsidRDefault="00DF0C46" w14:paraId="35CD2DEC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DF0C46" w:rsidP="00E82B81" w:rsidRDefault="00DF0C46" w14:paraId="1B678B7B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DF0C46" w:rsidTr="00DF0C46" w14:paraId="108FDC4E" w14:textId="77777777">
        <w:trPr>
          <w:trHeight w:val="1703"/>
        </w:trPr>
        <w:tc>
          <w:tcPr>
            <w:tcW w:w="2046" w:type="dxa"/>
            <w:vMerge/>
          </w:tcPr>
          <w:p w:rsidRPr="00F07548" w:rsidR="00DF0C46" w:rsidP="00E82B81" w:rsidRDefault="00DF0C46" w14:paraId="41DA76BA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DF0C46" w:rsidP="00E82B81" w:rsidRDefault="00DF0C46" w14:paraId="750998C1" w14:textId="65A32378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Životní situace jsou tvořeny krátkými texty, které posouvají občana dál k řešení. Každá životní situace, u které je k dispozici elektronické řešení v Portálu občana města Lovosice, bude obsahovat přímé vstupy do elektronického řešení (podání, platba, rezervace).</w:t>
            </w:r>
          </w:p>
        </w:tc>
        <w:tc>
          <w:tcPr>
            <w:tcW w:w="994" w:type="dxa"/>
          </w:tcPr>
          <w:p w:rsidRPr="00F07548" w:rsidR="00DF0C46" w:rsidP="00E82B81" w:rsidRDefault="00DF0C46" w14:paraId="0C36267E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DF0C46" w:rsidP="00E82B81" w:rsidRDefault="00DF0C46" w14:paraId="146F655A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DF0C46" w:rsidTr="00DF0C46" w14:paraId="553EDCCA" w14:textId="77777777">
        <w:trPr>
          <w:trHeight w:val="1702"/>
        </w:trPr>
        <w:tc>
          <w:tcPr>
            <w:tcW w:w="2046" w:type="dxa"/>
            <w:vMerge/>
          </w:tcPr>
          <w:p w:rsidRPr="00F07548" w:rsidR="00DF0C46" w:rsidP="00E82B81" w:rsidRDefault="00DF0C46" w14:paraId="3DB27E02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="00DF0C46" w:rsidP="00DF0C46" w:rsidRDefault="00DF0C46" w14:paraId="69BC2967" w14:textId="691213F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Back office aplikace pro správu </w:t>
            </w:r>
            <w:r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 xml:space="preserve">u bude rozšířena o možnost správy obsahu životních situací a aktualit. Životní situace </w:t>
            </w:r>
            <w:r>
              <w:rPr>
                <w:rFonts w:ascii="Arial" w:hAnsi="Arial" w:cs="Arial"/>
                <w:color w:val="000000"/>
              </w:rPr>
              <w:t xml:space="preserve">jsou přehledně uvedeny v rozhraní back office aplikace (např. </w:t>
            </w:r>
            <w:r w:rsidRPr="00F07548">
              <w:rPr>
                <w:rFonts w:ascii="Arial" w:hAnsi="Arial" w:cs="Arial"/>
                <w:color w:val="000000"/>
              </w:rPr>
              <w:t>tvoří strom</w:t>
            </w:r>
            <w:r>
              <w:rPr>
                <w:rFonts w:ascii="Arial" w:hAnsi="Arial" w:cs="Arial"/>
                <w:color w:val="000000"/>
              </w:rPr>
              <w:t>ovou strukturu)</w:t>
            </w:r>
            <w:r w:rsidRPr="00F07548">
              <w:rPr>
                <w:rFonts w:ascii="Arial" w:hAnsi="Arial" w:cs="Arial"/>
                <w:color w:val="000000"/>
              </w:rPr>
              <w:t xml:space="preserve"> a mohou obsahovat formátovaný text včetně volitelných příloh (například soubory typu PDF / WORD …).  </w:t>
            </w:r>
          </w:p>
          <w:p w:rsidRPr="00F07548" w:rsidR="00DF0C46" w:rsidP="00DF0C46" w:rsidRDefault="00DF0C46" w14:paraId="0398F64F" w14:textId="0A990FDB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Připravené životní situace a aktuality jsou synchronizovány na vlastní </w:t>
            </w:r>
            <w:r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 xml:space="preserve"> občana a jsou tak dostupné široké veřejnosti.</w:t>
            </w:r>
          </w:p>
        </w:tc>
        <w:tc>
          <w:tcPr>
            <w:tcW w:w="994" w:type="dxa"/>
          </w:tcPr>
          <w:p w:rsidRPr="00F07548" w:rsidR="00DF0C46" w:rsidP="00E82B81" w:rsidRDefault="00DF0C46" w14:paraId="1E2DF78A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DF0C46" w:rsidP="00E82B81" w:rsidRDefault="00DF0C46" w14:paraId="647E1D81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DF0C46" w:rsidTr="00DF0C46" w14:paraId="31DF9DB1" w14:textId="77777777">
        <w:tc>
          <w:tcPr>
            <w:tcW w:w="2046" w:type="dxa"/>
            <w:vMerge/>
          </w:tcPr>
          <w:p w:rsidRPr="00F07548" w:rsidR="00DF0C46" w:rsidP="00E82B81" w:rsidRDefault="00DF0C46" w14:paraId="7A034F0F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DF0C46" w:rsidP="00E82B81" w:rsidRDefault="00DF0C46" w14:paraId="6BFCF186" w14:textId="3FCEC05B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Životní situace mohou obsahovat odkaz(y) na interaktivní formuláře </w:t>
            </w:r>
            <w:r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>u občana (viz oblast "Formulářový systém"), které je možné následně vyplnit a učinit podání (viz oblast "Podání").</w:t>
            </w:r>
          </w:p>
        </w:tc>
        <w:tc>
          <w:tcPr>
            <w:tcW w:w="994" w:type="dxa"/>
          </w:tcPr>
          <w:p w:rsidRPr="00F07548" w:rsidR="00DF0C46" w:rsidP="00E82B81" w:rsidRDefault="00DF0C46" w14:paraId="61CAA447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DF0C46" w:rsidP="00E82B81" w:rsidRDefault="00DF0C46" w14:paraId="360D28B6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DF0C46" w:rsidTr="00DF0C46" w14:paraId="678E90A3" w14:textId="77777777">
        <w:tc>
          <w:tcPr>
            <w:tcW w:w="2046" w:type="dxa"/>
            <w:vMerge/>
          </w:tcPr>
          <w:p w:rsidRPr="00F07548" w:rsidR="00DF0C46" w:rsidP="00E82B81" w:rsidRDefault="00DF0C46" w14:paraId="6AB16564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DF0C46" w:rsidP="00E82B81" w:rsidRDefault="00DF0C46" w14:paraId="328BA238" w14:textId="5E5F5FD4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Životní situace může v back office </w:t>
            </w:r>
            <w:r>
              <w:rPr>
                <w:rFonts w:ascii="Arial" w:hAnsi="Arial" w:cs="Arial"/>
                <w:color w:val="000000"/>
              </w:rPr>
              <w:t xml:space="preserve">aplikaci </w:t>
            </w:r>
            <w:r w:rsidRPr="00F07548">
              <w:rPr>
                <w:rFonts w:ascii="Arial" w:hAnsi="Arial" w:cs="Arial"/>
                <w:color w:val="000000"/>
              </w:rPr>
              <w:t xml:space="preserve">spravovat pověřený pracovník města Lovosice, pro jejich úpravu není nutný programový nebo jiný obdobný zásah do </w:t>
            </w:r>
            <w:r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>u občana.</w:t>
            </w:r>
          </w:p>
        </w:tc>
        <w:tc>
          <w:tcPr>
            <w:tcW w:w="994" w:type="dxa"/>
          </w:tcPr>
          <w:p w:rsidRPr="00F07548" w:rsidR="00DF0C46" w:rsidP="00E82B81" w:rsidRDefault="00DF0C46" w14:paraId="31DAFF9C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DF0C46" w:rsidP="00E82B81" w:rsidRDefault="00DF0C46" w14:paraId="398CBF2A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DF0C46" w:rsidTr="00DF0C46" w14:paraId="7FCA3279" w14:textId="77777777">
        <w:tc>
          <w:tcPr>
            <w:tcW w:w="2046" w:type="dxa"/>
            <w:vMerge/>
          </w:tcPr>
          <w:p w:rsidRPr="00F07548" w:rsidR="00DF0C46" w:rsidP="00E82B81" w:rsidRDefault="00DF0C46" w14:paraId="634FAA02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DF0C46" w:rsidP="00E82B81" w:rsidRDefault="00DF0C46" w14:paraId="023A050B" w14:textId="795DCF9B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Životní situace i aktuality jsou v </w:t>
            </w:r>
            <w:r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 xml:space="preserve">u občana dostupné registrovaným i anonymním uživatelům bez předchozí registrace a přihlášení se do </w:t>
            </w:r>
            <w:r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>u.</w:t>
            </w:r>
          </w:p>
        </w:tc>
        <w:tc>
          <w:tcPr>
            <w:tcW w:w="994" w:type="dxa"/>
          </w:tcPr>
          <w:p w:rsidRPr="00F07548" w:rsidR="00DF0C46" w:rsidP="00E82B81" w:rsidRDefault="00DF0C46" w14:paraId="06E02335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DF0C46" w:rsidP="00E82B81" w:rsidRDefault="00DF0C46" w14:paraId="5FB3622D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DF0C46" w:rsidTr="00DF0C46" w14:paraId="51B5FE2A" w14:textId="77777777">
        <w:tc>
          <w:tcPr>
            <w:tcW w:w="2046" w:type="dxa"/>
            <w:vMerge/>
          </w:tcPr>
          <w:p w:rsidRPr="00F07548" w:rsidR="00DF0C46" w:rsidP="00E82B81" w:rsidRDefault="00DF0C46" w14:paraId="0AFF5095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DF0C46" w:rsidP="00E82B81" w:rsidRDefault="00DF0C46" w14:paraId="7FC32B15" w14:textId="7777777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V životních situacích může občan fulltetově vyhledávat a jsou mu dle </w:t>
            </w:r>
            <w:r w:rsidRPr="00F07548">
              <w:rPr>
                <w:rFonts w:ascii="Arial" w:hAnsi="Arial" w:cs="Arial"/>
                <w:color w:val="000000"/>
              </w:rPr>
              <w:lastRenderedPageBreak/>
              <w:t>vyhledávací podmínky nabízeny dohledané životní situace.</w:t>
            </w:r>
          </w:p>
        </w:tc>
        <w:tc>
          <w:tcPr>
            <w:tcW w:w="994" w:type="dxa"/>
          </w:tcPr>
          <w:p w:rsidRPr="00F07548" w:rsidR="00DF0C46" w:rsidP="00E82B81" w:rsidRDefault="00DF0C46" w14:paraId="7D58C55A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DF0C46" w:rsidP="00E82B81" w:rsidRDefault="00DF0C46" w14:paraId="5198104B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DF0C46" w:rsidTr="00DF0C46" w14:paraId="5A738B8E" w14:textId="77777777">
        <w:tc>
          <w:tcPr>
            <w:tcW w:w="2046" w:type="dxa"/>
            <w:vMerge/>
          </w:tcPr>
          <w:p w:rsidRPr="00F07548" w:rsidR="00DF0C46" w:rsidP="00E82B81" w:rsidRDefault="00DF0C46" w14:paraId="4DE460D5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DF0C46" w:rsidP="00E82B81" w:rsidRDefault="00DF0C46" w14:paraId="4D63A179" w14:textId="4289F0B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>Životní situace mohou obsahovat odkaz na rezervační systém města Lovosice (https://rezervace.lovosice.qtcloud.cz/ ). Odkaz může být obecný nebo jako odkaz z konkrétní životní situace rovnou do výběru termínu konkrétní služby (agendy).</w:t>
            </w:r>
          </w:p>
        </w:tc>
        <w:tc>
          <w:tcPr>
            <w:tcW w:w="994" w:type="dxa"/>
          </w:tcPr>
          <w:p w:rsidRPr="00F07548" w:rsidR="00DF0C46" w:rsidP="00E82B81" w:rsidRDefault="00DF0C46" w14:paraId="02366D7C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DF0C46" w:rsidP="00E82B81" w:rsidRDefault="00DF0C46" w14:paraId="7D12EF4E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1CF32868" w14:textId="77777777">
        <w:tc>
          <w:tcPr>
            <w:tcW w:w="2046" w:type="dxa"/>
            <w:vMerge w:val="restart"/>
          </w:tcPr>
          <w:p w:rsidRPr="00F07548" w:rsidR="00F07548" w:rsidP="00E82B81" w:rsidRDefault="00F07548" w14:paraId="1DBDC00C" w14:textId="52608ECA">
            <w:pPr>
              <w:spacing w:before="60" w:after="60"/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F07548">
              <w:rPr>
                <w:rFonts w:ascii="Arial" w:hAnsi="Arial" w:cs="Arial"/>
                <w:b/>
                <w:bCs/>
                <w:color w:val="000000"/>
              </w:rPr>
              <w:t xml:space="preserve">Oblast "Formulářový systém" </w:t>
            </w:r>
            <w:r w:rsidR="00DF0C46">
              <w:rPr>
                <w:rFonts w:ascii="Arial" w:hAnsi="Arial" w:cs="Arial"/>
                <w:b/>
                <w:bCs/>
                <w:color w:val="000000"/>
              </w:rPr>
              <w:t>Portál</w:t>
            </w:r>
            <w:r w:rsidRPr="00F07548">
              <w:rPr>
                <w:rFonts w:ascii="Arial" w:hAnsi="Arial" w:cs="Arial"/>
                <w:b/>
                <w:bCs/>
                <w:color w:val="000000"/>
              </w:rPr>
              <w:t>u občana</w:t>
            </w:r>
          </w:p>
        </w:tc>
        <w:tc>
          <w:tcPr>
            <w:tcW w:w="3609" w:type="dxa"/>
          </w:tcPr>
          <w:p w:rsidRPr="00F07548" w:rsidR="00F07548" w:rsidP="00E82B81" w:rsidRDefault="00DF0C46" w14:paraId="137D50B2" w14:textId="3B99C343">
            <w:pPr>
              <w:spacing w:before="60" w:after="6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Portál</w:t>
            </w:r>
            <w:r w:rsidRPr="00F07548" w:rsidR="00F07548">
              <w:rPr>
                <w:rFonts w:ascii="Arial" w:hAnsi="Arial" w:cs="Arial"/>
                <w:color w:val="000000"/>
              </w:rPr>
              <w:t xml:space="preserve"> občana bude rozšířen o modul formulářového systému, který bude pomocí integračního rozhraní komunikovat s </w:t>
            </w:r>
            <w:r>
              <w:rPr>
                <w:rFonts w:ascii="Arial" w:hAnsi="Arial" w:cs="Arial"/>
                <w:color w:val="000000"/>
              </w:rPr>
              <w:t>Portál</w:t>
            </w:r>
            <w:r w:rsidRPr="00F07548" w:rsidR="00F07548">
              <w:rPr>
                <w:rFonts w:ascii="Arial" w:hAnsi="Arial" w:cs="Arial"/>
                <w:color w:val="000000"/>
              </w:rPr>
              <w:t>em občana.</w:t>
            </w:r>
          </w:p>
        </w:tc>
        <w:tc>
          <w:tcPr>
            <w:tcW w:w="994" w:type="dxa"/>
          </w:tcPr>
          <w:p w:rsidRPr="00F07548" w:rsidR="00F07548" w:rsidP="00E82B81" w:rsidRDefault="00F07548" w14:paraId="498D8951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55D9BB4C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62B87285" w14:textId="77777777">
        <w:tc>
          <w:tcPr>
            <w:tcW w:w="2046" w:type="dxa"/>
            <w:vMerge/>
          </w:tcPr>
          <w:p w:rsidRPr="00F07548" w:rsidR="00F07548" w:rsidP="00E82B81" w:rsidRDefault="00F07548" w14:paraId="3761D06F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3E860412" w14:textId="2C961BF6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>Ve formulářovém systému je možné vytvářet nové či upravovat již vytvořené interaktivní formuláře. Formuláře je možné následně využít pro odkaz ze životních situací</w:t>
            </w:r>
            <w:r w:rsidR="00E73E27">
              <w:rPr>
                <w:rFonts w:ascii="Arial" w:hAnsi="Arial" w:cs="Arial"/>
                <w:color w:val="000000"/>
              </w:rPr>
              <w:t xml:space="preserve"> </w:t>
            </w:r>
            <w:r w:rsidRPr="00F07548">
              <w:rPr>
                <w:rFonts w:ascii="Arial" w:hAnsi="Arial" w:cs="Arial"/>
                <w:color w:val="000000"/>
              </w:rPr>
              <w:t>(viz oblast "Životní situace") a pro následné podání občana (viz oblast "Podání"). Každý formulář je identifikován kódem a názvem svého typu pro možnost typizace odskoků ze životních situací. Změnu formulářů je možné verzovat a zachovat tak historii jednotlivých změn.</w:t>
            </w:r>
          </w:p>
        </w:tc>
        <w:tc>
          <w:tcPr>
            <w:tcW w:w="994" w:type="dxa"/>
          </w:tcPr>
          <w:p w:rsidRPr="00F07548" w:rsidR="00F07548" w:rsidP="00E82B81" w:rsidRDefault="00F07548" w14:paraId="365706E6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43B06FA9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6404E8AC" w14:textId="77777777">
        <w:tc>
          <w:tcPr>
            <w:tcW w:w="2046" w:type="dxa"/>
            <w:vMerge/>
          </w:tcPr>
          <w:p w:rsidRPr="00F07548" w:rsidR="00F07548" w:rsidP="00E82B81" w:rsidRDefault="00F07548" w14:paraId="590E4722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13CBD5FF" w14:textId="75FA956D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>Součástí je WYSIWYG editor umožňující provádění úprav šablon formulářů i pro proškolené běžné uživatele bez znalosti programování</w:t>
            </w:r>
            <w:r w:rsidR="00E73E27">
              <w:rPr>
                <w:rFonts w:ascii="Arial" w:hAnsi="Arial" w:cs="Arial"/>
                <w:color w:val="000000"/>
              </w:rPr>
              <w:t xml:space="preserve"> a bez nutnosti zasahovat do kódu aplikace</w:t>
            </w:r>
            <w:r w:rsidRPr="00F0754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4" w:type="dxa"/>
          </w:tcPr>
          <w:p w:rsidRPr="00F07548" w:rsidR="00F07548" w:rsidP="00E82B81" w:rsidRDefault="00F07548" w14:paraId="0DDD47AB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7D132F27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0497EE91" w14:textId="77777777">
        <w:tc>
          <w:tcPr>
            <w:tcW w:w="2046" w:type="dxa"/>
            <w:vMerge/>
          </w:tcPr>
          <w:p w:rsidRPr="00F07548" w:rsidR="00F07548" w:rsidP="00E82B81" w:rsidRDefault="00F07548" w14:paraId="2B5EF1EA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74737945" w14:textId="7777777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>Umožňuje vytváření fragmentů/částí šablon, které mohou být sdíleny více šablonami (opakovaná řešení).</w:t>
            </w:r>
          </w:p>
        </w:tc>
        <w:tc>
          <w:tcPr>
            <w:tcW w:w="994" w:type="dxa"/>
          </w:tcPr>
          <w:p w:rsidRPr="00F07548" w:rsidR="00F07548" w:rsidP="00E82B81" w:rsidRDefault="00F07548" w14:paraId="0D002F0D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5B19B740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53330A36" w14:textId="77777777">
        <w:tc>
          <w:tcPr>
            <w:tcW w:w="2046" w:type="dxa"/>
            <w:vMerge/>
          </w:tcPr>
          <w:p w:rsidRPr="00F07548" w:rsidR="00F07548" w:rsidP="00E82B81" w:rsidRDefault="00F07548" w14:paraId="53A7DBC2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69A68C52" w14:textId="7777777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>Obsahuje možnost vytváření průvodců, které pomáhají uživatelům při vyplnění rozsáhlejších formulářů.</w:t>
            </w:r>
          </w:p>
        </w:tc>
        <w:tc>
          <w:tcPr>
            <w:tcW w:w="994" w:type="dxa"/>
          </w:tcPr>
          <w:p w:rsidRPr="00F07548" w:rsidR="00F07548" w:rsidP="00E82B81" w:rsidRDefault="00F07548" w14:paraId="356226BE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117511A8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20536E7A" w14:textId="77777777">
        <w:tc>
          <w:tcPr>
            <w:tcW w:w="2046" w:type="dxa"/>
            <w:vMerge/>
          </w:tcPr>
          <w:p w:rsidRPr="00F07548" w:rsidR="00F07548" w:rsidP="00E82B81" w:rsidRDefault="00F07548" w14:paraId="681B8B96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03C6EEC2" w14:textId="2943776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>Obsahuje nástroje umožňující vytváření různých prvků pomáhajících uživateli při vyplňování formuláře (nápovědy, hinty, apod.) .</w:t>
            </w:r>
          </w:p>
        </w:tc>
        <w:tc>
          <w:tcPr>
            <w:tcW w:w="994" w:type="dxa"/>
          </w:tcPr>
          <w:p w:rsidRPr="00F07548" w:rsidR="00F07548" w:rsidP="00E82B81" w:rsidRDefault="00F07548" w14:paraId="01C24639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150C9F99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1BA5352C" w14:textId="77777777">
        <w:tc>
          <w:tcPr>
            <w:tcW w:w="2046" w:type="dxa"/>
            <w:vMerge/>
          </w:tcPr>
          <w:p w:rsidRPr="00F07548" w:rsidR="00F07548" w:rsidP="00E82B81" w:rsidRDefault="00F07548" w14:paraId="3BC20A26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1E0C26C1" w14:textId="1C486730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>Správu formulářů lze škálovat do jednotlivých skupin s určením administrátorů za jednotlivé skupiny.</w:t>
            </w:r>
          </w:p>
        </w:tc>
        <w:tc>
          <w:tcPr>
            <w:tcW w:w="994" w:type="dxa"/>
          </w:tcPr>
          <w:p w:rsidRPr="00F07548" w:rsidR="00F07548" w:rsidP="00E82B81" w:rsidRDefault="00F07548" w14:paraId="53377083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10E4267D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32311BCB" w14:textId="77777777">
        <w:tc>
          <w:tcPr>
            <w:tcW w:w="2046" w:type="dxa"/>
            <w:vMerge/>
          </w:tcPr>
          <w:p w:rsidRPr="00F07548" w:rsidR="00F07548" w:rsidP="00E82B81" w:rsidRDefault="00F07548" w14:paraId="2BF58F75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068D575F" w14:textId="3ACB25A6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Formulářový systém podporuje responsivní design a umožnuje tak jejich zobrazení a vyplnění např. i na mobilních </w:t>
            </w:r>
            <w:r w:rsidR="00E73E27">
              <w:rPr>
                <w:rFonts w:ascii="Arial" w:hAnsi="Arial" w:cs="Arial"/>
                <w:color w:val="000000"/>
              </w:rPr>
              <w:t>zařízeních (</w:t>
            </w:r>
            <w:r w:rsidRPr="00F07548">
              <w:rPr>
                <w:rFonts w:ascii="Arial" w:hAnsi="Arial" w:cs="Arial"/>
                <w:color w:val="000000"/>
              </w:rPr>
              <w:t>telefonech a tabletech</w:t>
            </w:r>
            <w:r w:rsidR="00E73E27">
              <w:rPr>
                <w:rFonts w:ascii="Arial" w:hAnsi="Arial" w:cs="Arial"/>
                <w:color w:val="000000"/>
              </w:rPr>
              <w:t>)</w:t>
            </w:r>
            <w:r w:rsidRPr="00F0754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4" w:type="dxa"/>
          </w:tcPr>
          <w:p w:rsidRPr="00F07548" w:rsidR="00F07548" w:rsidP="00E82B81" w:rsidRDefault="00F07548" w14:paraId="775D7F25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58E3B204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3253ED50" w14:textId="77777777">
        <w:tc>
          <w:tcPr>
            <w:tcW w:w="2046" w:type="dxa"/>
            <w:vMerge/>
          </w:tcPr>
          <w:p w:rsidRPr="00F07548" w:rsidR="00F07548" w:rsidP="00E82B81" w:rsidRDefault="00F07548" w14:paraId="21041A82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3579A5F3" w14:textId="26C53BAF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Vzhled formulářů je možné v rámci jejich návrhu přizpůsobit z důvodu sjednocení vizuální podoby </w:t>
            </w:r>
            <w:r w:rsidR="00DF0C46"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 xml:space="preserve">u </w:t>
            </w:r>
            <w:r w:rsidRPr="00F07548">
              <w:rPr>
                <w:rFonts w:ascii="Arial" w:hAnsi="Arial" w:cs="Arial"/>
                <w:color w:val="000000"/>
              </w:rPr>
              <w:lastRenderedPageBreak/>
              <w:t>občana i následného vyplnění formuláře a podání. Formuláře musí umožnit alespoň částečný adaptabilní vzhled tj. aplikaci grafických konstant zadavatele – loga, nebo znaku a fotografií a barev.</w:t>
            </w:r>
          </w:p>
        </w:tc>
        <w:tc>
          <w:tcPr>
            <w:tcW w:w="994" w:type="dxa"/>
          </w:tcPr>
          <w:p w:rsidRPr="00F07548" w:rsidR="00F07548" w:rsidP="00E82B81" w:rsidRDefault="00F07548" w14:paraId="16E02203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2F85928D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031E6B5A" w14:textId="77777777">
        <w:tc>
          <w:tcPr>
            <w:tcW w:w="2046" w:type="dxa"/>
            <w:vMerge/>
          </w:tcPr>
          <w:p w:rsidRPr="00F07548" w:rsidR="00F07548" w:rsidP="00E82B81" w:rsidRDefault="00F07548" w14:paraId="58C3D17B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6B483718" w14:textId="7777777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>V rámci návrhu formulářů lze definovat validační pravidla pro vyplnění jednotlivých částí formuláře. Při vyplnění formuláře budou tato pravidla kontrolována a nebude umožněno odeslání (podání) nevalidního formuláře.</w:t>
            </w:r>
          </w:p>
        </w:tc>
        <w:tc>
          <w:tcPr>
            <w:tcW w:w="994" w:type="dxa"/>
          </w:tcPr>
          <w:p w:rsidRPr="00F07548" w:rsidR="00F07548" w:rsidP="00E82B81" w:rsidRDefault="00F07548" w14:paraId="4C7684A3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79CB30DC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6F99C2C7" w14:textId="77777777">
        <w:tc>
          <w:tcPr>
            <w:tcW w:w="2046" w:type="dxa"/>
            <w:vMerge/>
          </w:tcPr>
          <w:p w:rsidRPr="00F07548" w:rsidR="00F07548" w:rsidP="00E82B81" w:rsidRDefault="00F07548" w14:paraId="4108FFE3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114D770B" w14:textId="7777777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>Formuláře mohou obsahovat nahrání jednotlivých příloh, které jsou následně součástí odeslání formuláře.</w:t>
            </w:r>
          </w:p>
        </w:tc>
        <w:tc>
          <w:tcPr>
            <w:tcW w:w="994" w:type="dxa"/>
          </w:tcPr>
          <w:p w:rsidRPr="00F07548" w:rsidR="00F07548" w:rsidP="00E82B81" w:rsidRDefault="00F07548" w14:paraId="63DCA7BA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231B7665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06A905AB" w14:textId="77777777">
        <w:tc>
          <w:tcPr>
            <w:tcW w:w="2046" w:type="dxa"/>
            <w:vMerge/>
          </w:tcPr>
          <w:p w:rsidRPr="00F07548" w:rsidR="00F07548" w:rsidP="00E82B81" w:rsidRDefault="00F07548" w14:paraId="78D22E12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="00E73E27" w:rsidP="00E82B81" w:rsidRDefault="00F07548" w14:paraId="78EF7ADE" w14:textId="1C60735C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Formuláře obsahují funkčnost předvyplnění údajů. Data pro tyto údaje jsou načítána z </w:t>
            </w:r>
            <w:r w:rsidR="00DF0C46"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 xml:space="preserve">u občana v kontextu konkrétního volání formuláře. Předvyplnění dat musí být minimálně na úrovni identifikačních údajů přihlášeného </w:t>
            </w:r>
            <w:r w:rsidR="00E73E27">
              <w:rPr>
                <w:rFonts w:ascii="Arial" w:hAnsi="Arial" w:cs="Arial"/>
                <w:color w:val="000000"/>
              </w:rPr>
              <w:t>uživatele (</w:t>
            </w:r>
            <w:r w:rsidRPr="00F07548">
              <w:rPr>
                <w:rFonts w:ascii="Arial" w:hAnsi="Arial" w:cs="Arial"/>
                <w:color w:val="000000"/>
              </w:rPr>
              <w:t>občana</w:t>
            </w:r>
            <w:r w:rsidR="00E73E27">
              <w:rPr>
                <w:rFonts w:ascii="Arial" w:hAnsi="Arial" w:cs="Arial"/>
                <w:color w:val="000000"/>
              </w:rPr>
              <w:t>)</w:t>
            </w:r>
            <w:r w:rsidRPr="00F07548">
              <w:rPr>
                <w:rFonts w:ascii="Arial" w:hAnsi="Arial" w:cs="Arial"/>
                <w:color w:val="000000"/>
              </w:rPr>
              <w:t xml:space="preserve"> na </w:t>
            </w:r>
            <w:r w:rsidR="00DF0C46"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 xml:space="preserve">u, případně subjektu, za který může </w:t>
            </w:r>
            <w:r w:rsidR="00E73E27">
              <w:rPr>
                <w:rFonts w:ascii="Arial" w:hAnsi="Arial" w:cs="Arial"/>
                <w:color w:val="000000"/>
              </w:rPr>
              <w:t>uživatel (</w:t>
            </w:r>
            <w:r w:rsidRPr="00F07548">
              <w:rPr>
                <w:rFonts w:ascii="Arial" w:hAnsi="Arial" w:cs="Arial"/>
                <w:color w:val="000000"/>
              </w:rPr>
              <w:t>občan</w:t>
            </w:r>
            <w:r w:rsidR="00E73E27">
              <w:rPr>
                <w:rFonts w:ascii="Arial" w:hAnsi="Arial" w:cs="Arial"/>
                <w:color w:val="000000"/>
              </w:rPr>
              <w:t>)</w:t>
            </w:r>
            <w:r w:rsidRPr="00F07548">
              <w:rPr>
                <w:rFonts w:ascii="Arial" w:hAnsi="Arial" w:cs="Arial"/>
                <w:color w:val="000000"/>
              </w:rPr>
              <w:t xml:space="preserve"> na </w:t>
            </w:r>
            <w:r w:rsidR="00DF0C46"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 xml:space="preserve">u jednat. </w:t>
            </w:r>
          </w:p>
          <w:p w:rsidRPr="00F07548" w:rsidR="00F07548" w:rsidP="00E82B81" w:rsidRDefault="00F07548" w14:paraId="323E6A64" w14:textId="2CD494D9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Funkcionalita musí být implementována obecně, aby bylo možné v budoucnu například rozšířit předvyplnění i o agendová data, která budou na </w:t>
            </w:r>
            <w:r w:rsidR="00DF0C46"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>u pro daného občana k dispozici (například předvyplnění dat o plátci/poplatníkovi/psu při žádosti o změnu místního poplatku).</w:t>
            </w:r>
          </w:p>
        </w:tc>
        <w:tc>
          <w:tcPr>
            <w:tcW w:w="994" w:type="dxa"/>
          </w:tcPr>
          <w:p w:rsidRPr="00F07548" w:rsidR="00F07548" w:rsidP="00E82B81" w:rsidRDefault="00F07548" w14:paraId="1F844FED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31FB0985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7EC46077" w14:textId="77777777">
        <w:tc>
          <w:tcPr>
            <w:tcW w:w="2046" w:type="dxa"/>
            <w:vMerge/>
          </w:tcPr>
          <w:p w:rsidRPr="00F07548" w:rsidR="00F07548" w:rsidP="00E82B81" w:rsidRDefault="00F07548" w14:paraId="1D4B1623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E73E27" w:rsidR="00E73E27" w:rsidP="00E73E27" w:rsidRDefault="00F07548" w14:paraId="767254B9" w14:textId="77777777">
            <w:pPr>
              <w:spacing w:before="60" w:after="60"/>
              <w:rPr>
                <w:rFonts w:ascii="Arial" w:hAnsi="Arial" w:cs="Arial"/>
              </w:rPr>
            </w:pPr>
            <w:r w:rsidRPr="00E73E27">
              <w:rPr>
                <w:rFonts w:ascii="Arial" w:hAnsi="Arial" w:cs="Arial"/>
              </w:rPr>
              <w:t>Formulářový systém umožňuje:</w:t>
            </w:r>
          </w:p>
          <w:p w:rsidR="00E73E27" w:rsidP="00E73E27" w:rsidRDefault="00F07548" w14:paraId="23FDDAFF" w14:textId="77777777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250" w:hanging="186"/>
              <w:rPr>
                <w:rFonts w:ascii="Arial" w:hAnsi="Arial" w:cs="Arial"/>
              </w:rPr>
            </w:pPr>
            <w:r w:rsidRPr="00E73E27">
              <w:rPr>
                <w:rFonts w:ascii="Arial" w:hAnsi="Arial" w:cs="Arial"/>
              </w:rPr>
              <w:t>náhled vyplněného formuláře před odesláním/vytištěním</w:t>
            </w:r>
            <w:r w:rsidRPr="00E73E27" w:rsidR="00E73E27">
              <w:rPr>
                <w:rFonts w:ascii="Arial" w:hAnsi="Arial" w:cs="Arial"/>
              </w:rPr>
              <w:t>;</w:t>
            </w:r>
          </w:p>
          <w:p w:rsidR="00E73E27" w:rsidP="00E73E27" w:rsidRDefault="00F07548" w14:paraId="4785E662" w14:textId="4415D0F0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250" w:hanging="186"/>
              <w:rPr>
                <w:rFonts w:ascii="Arial" w:hAnsi="Arial" w:cs="Arial"/>
              </w:rPr>
            </w:pPr>
            <w:r w:rsidRPr="00E73E27">
              <w:rPr>
                <w:rFonts w:ascii="Arial" w:hAnsi="Arial" w:cs="Arial"/>
              </w:rPr>
              <w:t xml:space="preserve">odeslání vyplněného formuláře k dalšímu zpracování na </w:t>
            </w:r>
            <w:r w:rsidR="00DF0C46">
              <w:rPr>
                <w:rFonts w:ascii="Arial" w:hAnsi="Arial" w:cs="Arial"/>
              </w:rPr>
              <w:t>Portál</w:t>
            </w:r>
            <w:r w:rsidRPr="00E73E27">
              <w:rPr>
                <w:rFonts w:ascii="Arial" w:hAnsi="Arial" w:cs="Arial"/>
              </w:rPr>
              <w:t xml:space="preserve"> ve formátu PDF/A</w:t>
            </w:r>
            <w:r w:rsidRPr="00E73E27" w:rsidR="00E73E27">
              <w:rPr>
                <w:rFonts w:ascii="Arial" w:hAnsi="Arial" w:cs="Arial"/>
              </w:rPr>
              <w:t>;</w:t>
            </w:r>
          </w:p>
          <w:p w:rsidR="00E73E27" w:rsidP="00E73E27" w:rsidRDefault="00F07548" w14:paraId="14776A30" w14:textId="77777777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250" w:hanging="186"/>
              <w:rPr>
                <w:rFonts w:ascii="Arial" w:hAnsi="Arial" w:cs="Arial"/>
              </w:rPr>
            </w:pPr>
            <w:r w:rsidRPr="00E73E27">
              <w:rPr>
                <w:rFonts w:ascii="Arial" w:hAnsi="Arial" w:cs="Arial"/>
              </w:rPr>
              <w:t>odeslání vyplněného formuláře na určenou e</w:t>
            </w:r>
            <w:r w:rsidRPr="00E73E27" w:rsidR="00E73E27">
              <w:rPr>
                <w:rFonts w:ascii="Arial" w:hAnsi="Arial" w:cs="Arial"/>
              </w:rPr>
              <w:t>-</w:t>
            </w:r>
            <w:r w:rsidRPr="00E73E27">
              <w:rPr>
                <w:rFonts w:ascii="Arial" w:hAnsi="Arial" w:cs="Arial"/>
              </w:rPr>
              <w:t>mailovou adresu</w:t>
            </w:r>
            <w:r w:rsidRPr="00E73E27" w:rsidR="00E73E27">
              <w:rPr>
                <w:rFonts w:ascii="Arial" w:hAnsi="Arial" w:cs="Arial"/>
              </w:rPr>
              <w:t>;</w:t>
            </w:r>
          </w:p>
          <w:p w:rsidR="00E73E27" w:rsidP="00E73E27" w:rsidRDefault="00F07548" w14:paraId="0E65AA99" w14:textId="77777777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250" w:hanging="186"/>
              <w:rPr>
                <w:rFonts w:ascii="Arial" w:hAnsi="Arial" w:cs="Arial"/>
              </w:rPr>
            </w:pPr>
            <w:r w:rsidRPr="00E73E27">
              <w:rPr>
                <w:rFonts w:ascii="Arial" w:hAnsi="Arial" w:cs="Arial"/>
              </w:rPr>
              <w:t>vytištění formuláře</w:t>
            </w:r>
            <w:r w:rsidRPr="00E73E27" w:rsidR="00E73E27">
              <w:rPr>
                <w:rFonts w:ascii="Arial" w:hAnsi="Arial" w:cs="Arial"/>
              </w:rPr>
              <w:t>;</w:t>
            </w:r>
          </w:p>
          <w:p w:rsidRPr="00E73E27" w:rsidR="00F07548" w:rsidP="00E73E27" w:rsidRDefault="00F07548" w14:paraId="649D0C36" w14:textId="5D909309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250" w:hanging="186"/>
              <w:rPr>
                <w:rFonts w:ascii="Arial" w:hAnsi="Arial" w:cs="Arial"/>
              </w:rPr>
            </w:pPr>
            <w:r w:rsidRPr="00E73E27">
              <w:rPr>
                <w:rFonts w:ascii="Arial" w:hAnsi="Arial" w:cs="Arial"/>
              </w:rPr>
              <w:t>lokální uložení ve formátu PDF</w:t>
            </w:r>
            <w:r w:rsidRPr="00E73E27" w:rsidR="00E73E27">
              <w:rPr>
                <w:rFonts w:ascii="Arial" w:hAnsi="Arial" w:cs="Arial"/>
              </w:rPr>
              <w:t>.</w:t>
            </w:r>
          </w:p>
        </w:tc>
        <w:tc>
          <w:tcPr>
            <w:tcW w:w="994" w:type="dxa"/>
          </w:tcPr>
          <w:p w:rsidRPr="00F07548" w:rsidR="00F07548" w:rsidP="00E82B81" w:rsidRDefault="00F07548" w14:paraId="77EA691A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76CF0374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797B4E1B" w14:textId="77777777">
        <w:tc>
          <w:tcPr>
            <w:tcW w:w="2046" w:type="dxa"/>
            <w:vMerge/>
          </w:tcPr>
          <w:p w:rsidRPr="00F07548" w:rsidR="00F07548" w:rsidP="00E82B81" w:rsidRDefault="00F07548" w14:paraId="4EB5A1A7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29075737" w14:textId="77F0B8B3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Součástí odeslání formuláře na </w:t>
            </w:r>
            <w:r w:rsidR="00DF0C46"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 xml:space="preserve"> jsou i všechny přílohy formuláře a vygenerovaný datový XML soubor, který obsahuje strukturované informace z vyplněného formuláře a který lze následně automatizovaně zpracovat v agendových systémech, které daná podání zpracovávají. </w:t>
            </w:r>
          </w:p>
        </w:tc>
        <w:tc>
          <w:tcPr>
            <w:tcW w:w="994" w:type="dxa"/>
          </w:tcPr>
          <w:p w:rsidRPr="00F07548" w:rsidR="00F07548" w:rsidP="00E82B81" w:rsidRDefault="00F07548" w14:paraId="19A9A0C4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1B893322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37952C71" w14:textId="77777777">
        <w:tc>
          <w:tcPr>
            <w:tcW w:w="2046" w:type="dxa"/>
            <w:vMerge/>
          </w:tcPr>
          <w:p w:rsidRPr="00F07548" w:rsidR="00F07548" w:rsidP="00E82B81" w:rsidRDefault="00F07548" w14:paraId="0A7048D7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10A70A4B" w14:textId="7777777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>V rámci odeslání formuláře může občan tento formulář elektronicky podepsat svým el. podpisem.</w:t>
            </w:r>
          </w:p>
        </w:tc>
        <w:tc>
          <w:tcPr>
            <w:tcW w:w="994" w:type="dxa"/>
          </w:tcPr>
          <w:p w:rsidRPr="00F07548" w:rsidR="00F07548" w:rsidP="00E82B81" w:rsidRDefault="00F07548" w14:paraId="73429CD6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5D87A36B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23210ADF" w14:textId="77777777">
        <w:tc>
          <w:tcPr>
            <w:tcW w:w="2046" w:type="dxa"/>
            <w:vMerge/>
          </w:tcPr>
          <w:p w:rsidRPr="00F07548" w:rsidR="00F07548" w:rsidP="00E82B81" w:rsidRDefault="00F07548" w14:paraId="70D6CC74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="00E73E27" w:rsidP="00E82B81" w:rsidRDefault="00F07548" w14:paraId="4FCAFA1B" w14:textId="7777777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Formulářový systém poskytuje podporu pro uložení "rozpracovaného" formuláře, ke kterému se může občan následně vrátit, dovyplnit a odeslat. </w:t>
            </w:r>
          </w:p>
          <w:p w:rsidRPr="00F07548" w:rsidR="00F07548" w:rsidP="00E82B81" w:rsidRDefault="00F07548" w14:paraId="7B6E836F" w14:textId="0ABB2A96">
            <w:pPr>
              <w:spacing w:before="60" w:after="60"/>
              <w:rPr>
                <w:rFonts w:ascii="Arial" w:hAnsi="Arial" w:eastAsia="Times New Roman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Může být stanovena časová lhůta pro držení dat rozpracovaného formuláře a tato funkcionalita může být omezena pouze na registrované uživatele </w:t>
            </w:r>
            <w:r w:rsidR="00DF0C46"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>u.</w:t>
            </w:r>
          </w:p>
        </w:tc>
        <w:tc>
          <w:tcPr>
            <w:tcW w:w="994" w:type="dxa"/>
          </w:tcPr>
          <w:p w:rsidRPr="00F07548" w:rsidR="00F07548" w:rsidP="00E82B81" w:rsidRDefault="00F07548" w14:paraId="59B53EEC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193BB87B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1C8BF11A" w14:textId="77777777">
        <w:tc>
          <w:tcPr>
            <w:tcW w:w="2046" w:type="dxa"/>
            <w:vMerge/>
          </w:tcPr>
          <w:p w:rsidRPr="00F07548" w:rsidR="00F07548" w:rsidP="00E82B81" w:rsidRDefault="00F07548" w14:paraId="45AACBBA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="00E73E27" w:rsidP="00E82B81" w:rsidRDefault="00F07548" w14:paraId="0DCDF014" w14:textId="7777777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Formulářový systém bude implementován s úvodní sadou formulářů, řešící níže uvedené životní situace. Vzhled a funkcionalita formulářů bude v rámci implementace konzultována se zadavatelem a bude jím odsouhlasen. </w:t>
            </w:r>
          </w:p>
          <w:p w:rsidR="00B42352" w:rsidP="00E82B81" w:rsidRDefault="00F07548" w14:paraId="4BB1A9D2" w14:textId="7777777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>Formuláře lze vytvořit jako sdružené, kdy přímo na jednom formuláři lze v rámci konkrétní agendy žádat o více variant (například zvl. užívání komunikací).</w:t>
            </w:r>
            <w:r w:rsidRPr="00F07548">
              <w:rPr>
                <w:rFonts w:ascii="Arial" w:hAnsi="Arial" w:cs="Arial"/>
                <w:color w:val="000000"/>
              </w:rPr>
              <w:br/>
            </w:r>
          </w:p>
          <w:p w:rsidR="006251C4" w:rsidP="00E82B81" w:rsidRDefault="00F07548" w14:paraId="123442A0" w14:textId="7777777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>Seznam životních situací, které mají implementované formuláře řešit:</w:t>
            </w:r>
          </w:p>
          <w:p w:rsidR="006251C4" w:rsidP="006251C4" w:rsidRDefault="00F07548" w14:paraId="1E087C1F" w14:textId="77777777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250" w:hanging="186"/>
              <w:rPr>
                <w:rFonts w:ascii="Arial" w:hAnsi="Arial" w:cs="Arial"/>
              </w:rPr>
            </w:pPr>
            <w:r w:rsidRPr="00B42352">
              <w:rPr>
                <w:rFonts w:ascii="Arial" w:hAnsi="Arial" w:cs="Arial"/>
              </w:rPr>
              <w:t>Místní poplatky</w:t>
            </w:r>
          </w:p>
          <w:p w:rsidR="006251C4" w:rsidP="006251C4" w:rsidRDefault="00F07548" w14:paraId="5EBAB7AD" w14:textId="77777777">
            <w:pPr>
              <w:pStyle w:val="Odstavecseseznamem"/>
              <w:numPr>
                <w:ilvl w:val="1"/>
                <w:numId w:val="12"/>
              </w:numPr>
              <w:spacing w:before="60" w:after="60"/>
              <w:ind w:left="534" w:hanging="198"/>
              <w:rPr>
                <w:rFonts w:ascii="Arial" w:hAnsi="Arial" w:cs="Arial"/>
              </w:rPr>
            </w:pPr>
            <w:r w:rsidRPr="00B42352">
              <w:rPr>
                <w:rFonts w:ascii="Arial" w:hAnsi="Arial" w:cs="Arial"/>
              </w:rPr>
              <w:t>Přihlášení k místnímu poplatku za komunální odpad</w:t>
            </w:r>
          </w:p>
          <w:p w:rsidR="006251C4" w:rsidP="006251C4" w:rsidRDefault="00F07548" w14:paraId="2FC766AA" w14:textId="77777777">
            <w:pPr>
              <w:pStyle w:val="Odstavecseseznamem"/>
              <w:numPr>
                <w:ilvl w:val="1"/>
                <w:numId w:val="12"/>
              </w:numPr>
              <w:spacing w:before="60" w:after="60"/>
              <w:ind w:left="534" w:hanging="198"/>
              <w:rPr>
                <w:rFonts w:ascii="Arial" w:hAnsi="Arial" w:cs="Arial"/>
              </w:rPr>
            </w:pPr>
            <w:r w:rsidRPr="00B42352">
              <w:rPr>
                <w:rFonts w:ascii="Arial" w:hAnsi="Arial" w:cs="Arial"/>
              </w:rPr>
              <w:t>Přihlášení / odhlášení poplatníka za komunální odpad/ jiné změny v místním poplatku za komunální odpad</w:t>
            </w:r>
          </w:p>
          <w:p w:rsidR="006251C4" w:rsidP="006251C4" w:rsidRDefault="00F07548" w14:paraId="15D69643" w14:textId="77777777">
            <w:pPr>
              <w:pStyle w:val="Odstavecseseznamem"/>
              <w:numPr>
                <w:ilvl w:val="1"/>
                <w:numId w:val="12"/>
              </w:numPr>
              <w:spacing w:before="60" w:after="60"/>
              <w:ind w:left="534" w:hanging="198"/>
              <w:rPr>
                <w:rFonts w:ascii="Arial" w:hAnsi="Arial" w:cs="Arial"/>
              </w:rPr>
            </w:pPr>
            <w:r w:rsidRPr="00B42352">
              <w:rPr>
                <w:rFonts w:ascii="Arial" w:hAnsi="Arial" w:cs="Arial"/>
              </w:rPr>
              <w:t>Přihlášení k místnímu poplatku ze psů</w:t>
            </w:r>
          </w:p>
          <w:p w:rsidR="006251C4" w:rsidP="006251C4" w:rsidRDefault="00F07548" w14:paraId="1EC5682A" w14:textId="77777777">
            <w:pPr>
              <w:pStyle w:val="Odstavecseseznamem"/>
              <w:numPr>
                <w:ilvl w:val="1"/>
                <w:numId w:val="12"/>
              </w:numPr>
              <w:spacing w:before="60" w:after="60"/>
              <w:ind w:left="534" w:hanging="198"/>
              <w:rPr>
                <w:rFonts w:ascii="Arial" w:hAnsi="Arial" w:cs="Arial"/>
              </w:rPr>
            </w:pPr>
            <w:r w:rsidRPr="00B42352">
              <w:rPr>
                <w:rFonts w:ascii="Arial" w:hAnsi="Arial" w:cs="Arial"/>
              </w:rPr>
              <w:t>Přihlášení / odhlášení psa / jiné změny v místním poplatku ze psů</w:t>
            </w:r>
            <w:r w:rsidRPr="00B42352">
              <w:rPr>
                <w:rFonts w:ascii="Arial" w:hAnsi="Arial" w:cs="Arial"/>
              </w:rPr>
              <w:br/>
            </w:r>
          </w:p>
          <w:p w:rsidR="006251C4" w:rsidP="006251C4" w:rsidRDefault="00F07548" w14:paraId="6E37ABC6" w14:textId="77777777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250" w:hanging="186"/>
              <w:rPr>
                <w:rFonts w:ascii="Arial" w:hAnsi="Arial" w:cs="Arial"/>
              </w:rPr>
            </w:pPr>
            <w:r w:rsidRPr="006251C4">
              <w:rPr>
                <w:rFonts w:ascii="Arial" w:hAnsi="Arial" w:cs="Arial"/>
              </w:rPr>
              <w:t>Dotaz / žádost / stížnost</w:t>
            </w:r>
          </w:p>
          <w:p w:rsidR="006251C4" w:rsidP="006251C4" w:rsidRDefault="00F07548" w14:paraId="3289639A" w14:textId="77777777">
            <w:pPr>
              <w:pStyle w:val="Odstavecseseznamem"/>
              <w:numPr>
                <w:ilvl w:val="1"/>
                <w:numId w:val="12"/>
              </w:numPr>
              <w:spacing w:before="60" w:after="60"/>
              <w:ind w:left="534" w:hanging="198"/>
              <w:rPr>
                <w:rFonts w:ascii="Arial" w:hAnsi="Arial" w:cs="Arial"/>
              </w:rPr>
            </w:pPr>
            <w:r w:rsidRPr="006251C4">
              <w:rPr>
                <w:rFonts w:ascii="Arial" w:hAnsi="Arial" w:cs="Arial"/>
              </w:rPr>
              <w:t>Žádost o informace (106/1999 Sb.)</w:t>
            </w:r>
          </w:p>
          <w:p w:rsidR="006251C4" w:rsidP="006251C4" w:rsidRDefault="00F07548" w14:paraId="21EB7AA5" w14:textId="77777777">
            <w:pPr>
              <w:pStyle w:val="Odstavecseseznamem"/>
              <w:numPr>
                <w:ilvl w:val="1"/>
                <w:numId w:val="12"/>
              </w:numPr>
              <w:spacing w:before="60" w:after="60"/>
              <w:ind w:left="534" w:hanging="198"/>
              <w:rPr>
                <w:rFonts w:ascii="Arial" w:hAnsi="Arial" w:cs="Arial"/>
              </w:rPr>
            </w:pPr>
            <w:r w:rsidRPr="006251C4">
              <w:rPr>
                <w:rFonts w:ascii="Arial" w:hAnsi="Arial" w:cs="Arial"/>
              </w:rPr>
              <w:t>Odbor dopravy</w:t>
            </w:r>
          </w:p>
          <w:p w:rsidRPr="006251C4" w:rsidR="006251C4" w:rsidP="006251C4" w:rsidRDefault="00F07548" w14:paraId="60DCE237" w14:textId="77777777">
            <w:pPr>
              <w:pStyle w:val="Odstavecseseznamem"/>
              <w:numPr>
                <w:ilvl w:val="2"/>
                <w:numId w:val="12"/>
              </w:numPr>
              <w:spacing w:before="60" w:after="60"/>
              <w:ind w:left="959" w:hanging="209"/>
              <w:rPr>
                <w:rFonts w:ascii="Arial" w:hAnsi="Arial" w:cs="Arial"/>
                <w:color w:val="000000"/>
              </w:rPr>
            </w:pPr>
            <w:r w:rsidRPr="006251C4">
              <w:rPr>
                <w:rFonts w:ascii="Arial" w:hAnsi="Arial" w:cs="Arial"/>
              </w:rPr>
              <w:t>Žádost o vyhrazené parkovací místo pro těžce tělesně postiženou osobu</w:t>
            </w:r>
          </w:p>
          <w:p w:rsidRPr="006251C4" w:rsidR="006251C4" w:rsidP="006251C4" w:rsidRDefault="00F07548" w14:paraId="1AD1E481" w14:textId="77777777">
            <w:pPr>
              <w:pStyle w:val="Odstavecseseznamem"/>
              <w:numPr>
                <w:ilvl w:val="2"/>
                <w:numId w:val="12"/>
              </w:numPr>
              <w:spacing w:before="60" w:after="60"/>
              <w:ind w:left="959" w:hanging="209"/>
              <w:rPr>
                <w:rFonts w:ascii="Arial" w:hAnsi="Arial" w:cs="Arial"/>
                <w:color w:val="000000"/>
              </w:rPr>
            </w:pPr>
            <w:r w:rsidRPr="00B42352">
              <w:rPr>
                <w:rFonts w:ascii="Arial" w:hAnsi="Arial" w:cs="Arial"/>
              </w:rPr>
              <w:t>Žádost o vydání povolení uzavírky komunikace</w:t>
            </w:r>
          </w:p>
          <w:p w:rsidRPr="006251C4" w:rsidR="006251C4" w:rsidP="006251C4" w:rsidRDefault="00F07548" w14:paraId="085E91AC" w14:textId="77777777">
            <w:pPr>
              <w:pStyle w:val="Odstavecseseznamem"/>
              <w:numPr>
                <w:ilvl w:val="2"/>
                <w:numId w:val="12"/>
              </w:numPr>
              <w:spacing w:before="60" w:after="60"/>
              <w:ind w:left="959" w:hanging="209"/>
              <w:rPr>
                <w:rFonts w:ascii="Arial" w:hAnsi="Arial" w:cs="Arial"/>
                <w:color w:val="000000"/>
              </w:rPr>
            </w:pPr>
            <w:r w:rsidRPr="00B42352">
              <w:rPr>
                <w:rFonts w:ascii="Arial" w:hAnsi="Arial" w:cs="Arial"/>
              </w:rPr>
              <w:t>Žádost o vydání povolení zvl. užívání komunikace</w:t>
            </w:r>
          </w:p>
          <w:p w:rsidRPr="006251C4" w:rsidR="006251C4" w:rsidP="006251C4" w:rsidRDefault="00F07548" w14:paraId="1E49C102" w14:textId="77777777">
            <w:pPr>
              <w:pStyle w:val="Odstavecseseznamem"/>
              <w:numPr>
                <w:ilvl w:val="2"/>
                <w:numId w:val="12"/>
              </w:numPr>
              <w:spacing w:before="60" w:after="60"/>
              <w:ind w:left="959" w:hanging="209"/>
              <w:rPr>
                <w:rFonts w:ascii="Arial" w:hAnsi="Arial" w:cs="Arial"/>
                <w:color w:val="000000"/>
              </w:rPr>
            </w:pPr>
            <w:r w:rsidRPr="00B42352">
              <w:rPr>
                <w:rFonts w:ascii="Arial" w:hAnsi="Arial" w:cs="Arial"/>
              </w:rPr>
              <w:t>Žádost o vydání povolení zvl. užívání komunikace za účelem umístění inženýrských sítí</w:t>
            </w:r>
          </w:p>
          <w:p w:rsidRPr="006251C4" w:rsidR="006251C4" w:rsidP="006251C4" w:rsidRDefault="00F07548" w14:paraId="4AF7A7F0" w14:textId="77777777">
            <w:pPr>
              <w:pStyle w:val="Odstavecseseznamem"/>
              <w:numPr>
                <w:ilvl w:val="2"/>
                <w:numId w:val="12"/>
              </w:numPr>
              <w:spacing w:before="60" w:after="60"/>
              <w:ind w:left="959" w:hanging="209"/>
              <w:rPr>
                <w:rFonts w:ascii="Arial" w:hAnsi="Arial" w:cs="Arial"/>
                <w:color w:val="000000"/>
              </w:rPr>
            </w:pPr>
            <w:r w:rsidRPr="00B42352">
              <w:rPr>
                <w:rFonts w:ascii="Arial" w:hAnsi="Arial" w:cs="Arial"/>
              </w:rPr>
              <w:t xml:space="preserve">Žádost o vydání povolení zvl. užívání komunikace pro zřizování a provoz stánků, pojízdných či </w:t>
            </w:r>
            <w:r w:rsidRPr="00B42352">
              <w:rPr>
                <w:rFonts w:ascii="Arial" w:hAnsi="Arial" w:cs="Arial"/>
              </w:rPr>
              <w:lastRenderedPageBreak/>
              <w:t>přenosných prodejních a jiných podobných zařízení</w:t>
            </w:r>
          </w:p>
          <w:p w:rsidRPr="006251C4" w:rsidR="006251C4" w:rsidP="006251C4" w:rsidRDefault="00F07548" w14:paraId="2D94B4D3" w14:textId="77777777">
            <w:pPr>
              <w:pStyle w:val="Odstavecseseznamem"/>
              <w:numPr>
                <w:ilvl w:val="2"/>
                <w:numId w:val="12"/>
              </w:numPr>
              <w:spacing w:before="60" w:after="60"/>
              <w:ind w:left="959" w:hanging="209"/>
              <w:rPr>
                <w:rFonts w:ascii="Arial" w:hAnsi="Arial" w:cs="Arial"/>
                <w:color w:val="000000"/>
              </w:rPr>
            </w:pPr>
            <w:r w:rsidRPr="00B42352">
              <w:rPr>
                <w:rFonts w:ascii="Arial" w:hAnsi="Arial" w:cs="Arial"/>
              </w:rPr>
              <w:t>Žádost o vydání povolení zvl. užívání komunikace pro umísťování a provozování reklamních zařízení</w:t>
            </w:r>
          </w:p>
          <w:p w:rsidRPr="006251C4" w:rsidR="006251C4" w:rsidP="006251C4" w:rsidRDefault="00F07548" w14:paraId="6FF8C30E" w14:textId="77777777">
            <w:pPr>
              <w:pStyle w:val="Odstavecseseznamem"/>
              <w:numPr>
                <w:ilvl w:val="2"/>
                <w:numId w:val="12"/>
              </w:numPr>
              <w:spacing w:before="60" w:after="60"/>
              <w:ind w:left="959" w:hanging="209"/>
              <w:rPr>
                <w:rFonts w:ascii="Arial" w:hAnsi="Arial" w:cs="Arial"/>
                <w:color w:val="000000"/>
              </w:rPr>
            </w:pPr>
            <w:r w:rsidRPr="00B42352">
              <w:rPr>
                <w:rFonts w:ascii="Arial" w:hAnsi="Arial" w:cs="Arial"/>
              </w:rPr>
              <w:t>Žádost o vydání povolení zvl. užívání komunikace za účelem provádění stavebních prací</w:t>
            </w:r>
          </w:p>
          <w:p w:rsidRPr="006251C4" w:rsidR="006251C4" w:rsidP="006251C4" w:rsidRDefault="00F07548" w14:paraId="5E7CB5BA" w14:textId="77777777">
            <w:pPr>
              <w:pStyle w:val="Odstavecseseznamem"/>
              <w:numPr>
                <w:ilvl w:val="2"/>
                <w:numId w:val="12"/>
              </w:numPr>
              <w:spacing w:before="60" w:after="60"/>
              <w:ind w:left="959" w:hanging="209"/>
              <w:rPr>
                <w:rFonts w:ascii="Arial" w:hAnsi="Arial" w:cs="Arial"/>
                <w:color w:val="000000"/>
              </w:rPr>
            </w:pPr>
            <w:r w:rsidRPr="00B42352">
              <w:rPr>
                <w:rFonts w:ascii="Arial" w:hAnsi="Arial" w:cs="Arial"/>
              </w:rPr>
              <w:t>Žádost o vydání povolení zvl. užívání komunikace pro umísťování, skládání a nakládání věcí nebo materiálu (lešení)</w:t>
            </w:r>
          </w:p>
          <w:p w:rsidRPr="006251C4" w:rsidR="006251C4" w:rsidP="006251C4" w:rsidRDefault="00F07548" w14:paraId="1CEDEB31" w14:textId="77777777">
            <w:pPr>
              <w:pStyle w:val="Odstavecseseznamem"/>
              <w:numPr>
                <w:ilvl w:val="2"/>
                <w:numId w:val="12"/>
              </w:numPr>
              <w:spacing w:before="60" w:after="60"/>
              <w:ind w:left="959" w:hanging="209"/>
              <w:rPr>
                <w:rFonts w:ascii="Arial" w:hAnsi="Arial" w:cs="Arial"/>
                <w:color w:val="000000"/>
              </w:rPr>
            </w:pPr>
            <w:r w:rsidRPr="00B42352">
              <w:rPr>
                <w:rFonts w:ascii="Arial" w:hAnsi="Arial" w:cs="Arial"/>
              </w:rPr>
              <w:t>Žádost o vydání povolení zvl. užívání komunikace pro pořádání sportovních, kulturních, náboženských, zábavných a podobných akcí</w:t>
            </w:r>
          </w:p>
          <w:p w:rsidRPr="00F07548" w:rsidR="00F07548" w:rsidP="006251C4" w:rsidRDefault="00F07548" w14:paraId="445679AF" w14:textId="598D4DC9">
            <w:pPr>
              <w:pStyle w:val="Odstavecseseznamem"/>
              <w:numPr>
                <w:ilvl w:val="0"/>
                <w:numId w:val="12"/>
              </w:numPr>
              <w:spacing w:before="60" w:after="60"/>
              <w:ind w:left="250" w:hanging="186"/>
              <w:rPr>
                <w:rFonts w:ascii="Arial" w:hAnsi="Arial" w:cs="Arial"/>
                <w:color w:val="000000"/>
              </w:rPr>
            </w:pPr>
            <w:r w:rsidRPr="006251C4">
              <w:rPr>
                <w:rFonts w:ascii="Arial" w:hAnsi="Arial" w:cs="Arial"/>
              </w:rPr>
              <w:t>Součástí plnění je dalších 5 připravených interaktivních formulářů, které bude upřesněny v rámci analýzy.</w:t>
            </w:r>
            <w:r w:rsidRPr="00F0754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4" w:type="dxa"/>
          </w:tcPr>
          <w:p w:rsidRPr="00F07548" w:rsidR="00F07548" w:rsidP="00E82B81" w:rsidRDefault="00F07548" w14:paraId="4487039E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0AA2A476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4403437B" w14:textId="77777777">
        <w:tc>
          <w:tcPr>
            <w:tcW w:w="2046" w:type="dxa"/>
            <w:vMerge w:val="restart"/>
          </w:tcPr>
          <w:p w:rsidRPr="00F07548" w:rsidR="00F07548" w:rsidP="00E82B81" w:rsidRDefault="00F07548" w14:paraId="794959F2" w14:textId="1F24BFB6">
            <w:pPr>
              <w:spacing w:before="60" w:after="60"/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F07548">
              <w:rPr>
                <w:rFonts w:ascii="Arial" w:hAnsi="Arial" w:cs="Arial"/>
                <w:b/>
                <w:bCs/>
                <w:color w:val="000000"/>
              </w:rPr>
              <w:t xml:space="preserve">Oblast "Podání" na </w:t>
            </w:r>
            <w:r w:rsidR="00DF0C46">
              <w:rPr>
                <w:rFonts w:ascii="Arial" w:hAnsi="Arial" w:cs="Arial"/>
                <w:b/>
                <w:bCs/>
                <w:color w:val="000000"/>
              </w:rPr>
              <w:t>Portál</w:t>
            </w:r>
            <w:r w:rsidRPr="00F07548">
              <w:rPr>
                <w:rFonts w:ascii="Arial" w:hAnsi="Arial" w:cs="Arial"/>
                <w:b/>
                <w:bCs/>
                <w:color w:val="000000"/>
              </w:rPr>
              <w:t>u občana</w:t>
            </w:r>
          </w:p>
          <w:p w:rsidRPr="00F07548" w:rsidR="00F07548" w:rsidP="00E82B81" w:rsidRDefault="00F07548" w14:paraId="0E0C8231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DF0C46" w14:paraId="10EB4D39" w14:textId="7F2547C4">
            <w:pPr>
              <w:spacing w:before="60" w:after="6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Portál</w:t>
            </w:r>
            <w:r w:rsidRPr="00F07548" w:rsidR="00F07548">
              <w:rPr>
                <w:rFonts w:ascii="Arial" w:hAnsi="Arial" w:cs="Arial"/>
                <w:color w:val="000000"/>
              </w:rPr>
              <w:t xml:space="preserve"> občana bude rozšířen o modul podání, který bude integrován do stávajícího rozhraní </w:t>
            </w:r>
            <w:r>
              <w:rPr>
                <w:rFonts w:ascii="Arial" w:hAnsi="Arial" w:cs="Arial"/>
                <w:color w:val="000000"/>
              </w:rPr>
              <w:t>Portál</w:t>
            </w:r>
            <w:r w:rsidRPr="00F07548" w:rsidR="00F07548">
              <w:rPr>
                <w:rFonts w:ascii="Arial" w:hAnsi="Arial" w:cs="Arial"/>
                <w:color w:val="000000"/>
              </w:rPr>
              <w:t xml:space="preserve">u občana i back office aplikace pro správu </w:t>
            </w:r>
            <w:r>
              <w:rPr>
                <w:rFonts w:ascii="Arial" w:hAnsi="Arial" w:cs="Arial"/>
                <w:color w:val="000000"/>
              </w:rPr>
              <w:t>Portál</w:t>
            </w:r>
            <w:r w:rsidRPr="00F07548" w:rsidR="00F07548">
              <w:rPr>
                <w:rFonts w:ascii="Arial" w:hAnsi="Arial" w:cs="Arial"/>
                <w:color w:val="000000"/>
              </w:rPr>
              <w:t>u.</w:t>
            </w:r>
          </w:p>
        </w:tc>
        <w:tc>
          <w:tcPr>
            <w:tcW w:w="994" w:type="dxa"/>
          </w:tcPr>
          <w:p w:rsidRPr="00F07548" w:rsidR="00F07548" w:rsidP="00E82B81" w:rsidRDefault="00F07548" w14:paraId="2DFE38C2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0CD43509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599B64A5" w14:textId="77777777">
        <w:tc>
          <w:tcPr>
            <w:tcW w:w="2046" w:type="dxa"/>
            <w:vMerge/>
          </w:tcPr>
          <w:p w:rsidRPr="00F07548" w:rsidR="00F07548" w:rsidP="00E82B81" w:rsidRDefault="00F07548" w14:paraId="4C409BC7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65A4EFD1" w14:textId="7777777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>Modul zajišťuje možnost uskutečnit podání z občanem vyplněného a validního formuláře. Podání obsahuje výslednou podobu vyplněného formuláře ve formátu PDF, soubory příloh přiložené k formuláři a datovou strukturovanou podobu údajů formuláře ve formátu XML.</w:t>
            </w:r>
          </w:p>
        </w:tc>
        <w:tc>
          <w:tcPr>
            <w:tcW w:w="994" w:type="dxa"/>
          </w:tcPr>
          <w:p w:rsidRPr="00F07548" w:rsidR="00F07548" w:rsidP="00E82B81" w:rsidRDefault="00F07548" w14:paraId="03910C8E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6E9B5F14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F07548" w:rsidTr="00DF0C46" w14:paraId="2358B0B5" w14:textId="77777777">
        <w:tc>
          <w:tcPr>
            <w:tcW w:w="2046" w:type="dxa"/>
            <w:vMerge/>
          </w:tcPr>
          <w:p w:rsidRPr="00F07548" w:rsidR="00F07548" w:rsidP="00E82B81" w:rsidRDefault="00F07548" w14:paraId="3970FAD0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F07548" w:rsidP="00E82B81" w:rsidRDefault="00F07548" w14:paraId="3E52D47B" w14:textId="702FB1F8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Jednotlivá podání jsou odesílána do </w:t>
            </w:r>
            <w:r w:rsidR="00DF0C46"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 xml:space="preserve">u občana a následně do back office aplikace pro správu </w:t>
            </w:r>
            <w:r w:rsidR="00DF0C46"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 xml:space="preserve">u. V </w:t>
            </w:r>
            <w:r w:rsidR="00DF0C46"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>u občana jsou evidována jednotlivá podání, kde má registrovaný občan přehled o svých podáních včetně jejich stavu s možností stažení vyplněného formuláře.</w:t>
            </w:r>
          </w:p>
        </w:tc>
        <w:tc>
          <w:tcPr>
            <w:tcW w:w="994" w:type="dxa"/>
          </w:tcPr>
          <w:p w:rsidRPr="00F07548" w:rsidR="00F07548" w:rsidP="00E82B81" w:rsidRDefault="00F07548" w14:paraId="0AAE4123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E82B81" w:rsidRDefault="00F07548" w14:paraId="5A059602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F07548" w:rsidR="00357511" w:rsidTr="00FE2287" w14:paraId="2B90E1D4" w14:textId="77777777">
        <w:trPr>
          <w:trHeight w:val="2420"/>
        </w:trPr>
        <w:tc>
          <w:tcPr>
            <w:tcW w:w="2046" w:type="dxa"/>
            <w:vMerge/>
          </w:tcPr>
          <w:p w:rsidRPr="00F07548" w:rsidR="00357511" w:rsidP="00E82B81" w:rsidRDefault="00357511" w14:paraId="1C7FCB66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:rsidRPr="00F07548" w:rsidR="00357511" w:rsidP="00E82B81" w:rsidRDefault="00357511" w14:paraId="6DAAD202" w14:textId="092D20FB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F07548">
              <w:rPr>
                <w:rFonts w:ascii="Arial" w:hAnsi="Arial" w:cs="Arial"/>
                <w:color w:val="000000"/>
              </w:rPr>
              <w:t xml:space="preserve">U jednotlivých podání je evidován jejich stav. Bude rozlišen </w:t>
            </w:r>
            <w:r>
              <w:rPr>
                <w:rFonts w:ascii="Arial" w:hAnsi="Arial" w:cs="Arial"/>
                <w:color w:val="000000"/>
              </w:rPr>
              <w:t xml:space="preserve">min. </w:t>
            </w:r>
            <w:r w:rsidRPr="00F07548">
              <w:rPr>
                <w:rFonts w:ascii="Arial" w:hAnsi="Arial" w:cs="Arial"/>
                <w:color w:val="000000"/>
              </w:rPr>
              <w:t xml:space="preserve">stav "Rozpracováno" (právě vyplňovaný formulář podání), "Evidováno" (formulář podání odeslán z formulářového systému do </w:t>
            </w:r>
            <w:r>
              <w:rPr>
                <w:rFonts w:ascii="Arial" w:hAnsi="Arial" w:cs="Arial"/>
                <w:color w:val="000000"/>
              </w:rPr>
              <w:t>Portál</w:t>
            </w:r>
            <w:r w:rsidRPr="00F07548">
              <w:rPr>
                <w:rFonts w:ascii="Arial" w:hAnsi="Arial" w:cs="Arial"/>
                <w:color w:val="000000"/>
              </w:rPr>
              <w:t>u občana) a "Podáno" včetně čísla jednacího (podání zapsáno do spisové služby a vygenerováno číslo jednací).</w:t>
            </w:r>
          </w:p>
        </w:tc>
        <w:tc>
          <w:tcPr>
            <w:tcW w:w="994" w:type="dxa"/>
          </w:tcPr>
          <w:p w:rsidRPr="00F07548" w:rsidR="00357511" w:rsidP="00E82B81" w:rsidRDefault="00357511" w14:paraId="4D477B48" w14:textId="7777777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357511" w:rsidP="00E82B81" w:rsidRDefault="00357511" w14:paraId="4A514A01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Pr="00F07548" w:rsidR="00F07548" w:rsidP="00F07548" w:rsidRDefault="00F07548" w14:paraId="325F9E8D" w14:textId="77777777">
      <w:pPr>
        <w:rPr>
          <w:rFonts w:ascii="Arial" w:hAnsi="Arial" w:cs="Arial"/>
          <w:sz w:val="20"/>
          <w:szCs w:val="20"/>
        </w:rPr>
      </w:pPr>
    </w:p>
    <w:p w:rsidRPr="00F07548" w:rsidR="00F07548" w:rsidP="00F07548" w:rsidRDefault="00F07548" w14:paraId="1952670F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46"/>
        <w:gridCol w:w="3609"/>
        <w:gridCol w:w="994"/>
        <w:gridCol w:w="2286"/>
      </w:tblGrid>
      <w:tr w:rsidRPr="00D3623B" w:rsidR="00F07548" w:rsidTr="00DF0C46" w14:paraId="3A1CA9B1" w14:textId="77777777">
        <w:tc>
          <w:tcPr>
            <w:tcW w:w="8935" w:type="dxa"/>
            <w:gridSpan w:val="4"/>
            <w:shd w:val="clear" w:color="auto" w:fill="D9E2F3" w:themeFill="accent1" w:themeFillTint="33"/>
          </w:tcPr>
          <w:p w:rsidRPr="00D3623B" w:rsidR="00F07548" w:rsidP="00D3623B" w:rsidRDefault="00D3623B" w14:paraId="09486A24" w14:textId="658C15BB">
            <w:pPr>
              <w:pStyle w:val="Nzev"/>
            </w:pPr>
            <w:r w:rsidRPr="00D3623B">
              <w:t>INTEGRACE PROJEKTU</w:t>
            </w:r>
          </w:p>
        </w:tc>
      </w:tr>
      <w:tr w:rsidRPr="00D3623B" w:rsidR="00F07548" w:rsidTr="00DF0C46" w14:paraId="54D2879B" w14:textId="77777777">
        <w:tc>
          <w:tcPr>
            <w:tcW w:w="2046" w:type="dxa"/>
            <w:shd w:val="clear" w:color="auto" w:fill="D9E2F3" w:themeFill="accent1" w:themeFillTint="33"/>
          </w:tcPr>
          <w:p w:rsidRPr="00D3623B" w:rsidR="00F07548" w:rsidP="00D3623B" w:rsidRDefault="00F07548" w14:paraId="78A6B121" w14:textId="777777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3623B">
              <w:rPr>
                <w:rFonts w:ascii="Arial" w:hAnsi="Arial" w:cs="Arial"/>
                <w:b/>
                <w:bCs/>
              </w:rPr>
              <w:t>Položka/Funkce</w:t>
            </w:r>
          </w:p>
        </w:tc>
        <w:tc>
          <w:tcPr>
            <w:tcW w:w="3609" w:type="dxa"/>
            <w:shd w:val="clear" w:color="auto" w:fill="D9E2F3" w:themeFill="accent1" w:themeFillTint="33"/>
          </w:tcPr>
          <w:p w:rsidRPr="00D3623B" w:rsidR="00F07548" w:rsidP="00D3623B" w:rsidRDefault="00F07548" w14:paraId="2DE64A48" w14:textId="777777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3623B">
              <w:rPr>
                <w:rFonts w:ascii="Arial" w:hAnsi="Arial" w:cs="Arial"/>
                <w:b/>
                <w:bCs/>
              </w:rPr>
              <w:t>Detailní funkce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:rsidRPr="00D3623B" w:rsidR="00F07548" w:rsidP="00D3623B" w:rsidRDefault="00F07548" w14:paraId="76BC7968" w14:textId="777777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3623B">
              <w:rPr>
                <w:rFonts w:ascii="Arial" w:hAnsi="Arial" w:cs="Arial"/>
                <w:b/>
                <w:bCs/>
              </w:rPr>
              <w:t>ANO/NE</w:t>
            </w:r>
          </w:p>
        </w:tc>
        <w:tc>
          <w:tcPr>
            <w:tcW w:w="2286" w:type="dxa"/>
            <w:shd w:val="clear" w:color="auto" w:fill="D9E2F3" w:themeFill="accent1" w:themeFillTint="33"/>
          </w:tcPr>
          <w:p w:rsidRPr="00D3623B" w:rsidR="00F07548" w:rsidP="00D3623B" w:rsidRDefault="00F07548" w14:paraId="378A6F09" w14:textId="777777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3623B">
              <w:rPr>
                <w:rFonts w:ascii="Arial" w:hAnsi="Arial" w:cs="Arial"/>
                <w:b/>
                <w:bCs/>
              </w:rPr>
              <w:t>Detailní popis řešení</w:t>
            </w:r>
          </w:p>
        </w:tc>
      </w:tr>
      <w:tr w:rsidRPr="00F07548" w:rsidR="00F07548" w:rsidTr="00DF0C46" w14:paraId="6241E3D1" w14:textId="77777777">
        <w:tc>
          <w:tcPr>
            <w:tcW w:w="2046" w:type="dxa"/>
          </w:tcPr>
          <w:p w:rsidRPr="00F07548" w:rsidR="00F07548" w:rsidP="00D3623B" w:rsidRDefault="00F07548" w14:paraId="1B83E412" w14:textId="101DD820">
            <w:pPr>
              <w:spacing w:before="60" w:after="60"/>
              <w:rPr>
                <w:rFonts w:ascii="Arial" w:hAnsi="Arial" w:cs="Arial"/>
              </w:rPr>
            </w:pPr>
            <w:r w:rsidRPr="00F07548">
              <w:rPr>
                <w:rFonts w:ascii="Arial" w:hAnsi="Arial" w:cs="Arial"/>
              </w:rPr>
              <w:t>Integrace formulářového systému v </w:t>
            </w:r>
            <w:r w:rsidR="00DF0C46">
              <w:rPr>
                <w:rFonts w:ascii="Arial" w:hAnsi="Arial" w:cs="Arial"/>
              </w:rPr>
              <w:t>Portál</w:t>
            </w:r>
            <w:r w:rsidRPr="00F07548">
              <w:rPr>
                <w:rFonts w:ascii="Arial" w:hAnsi="Arial" w:cs="Arial"/>
              </w:rPr>
              <w:t>u občana</w:t>
            </w:r>
          </w:p>
        </w:tc>
        <w:tc>
          <w:tcPr>
            <w:tcW w:w="3609" w:type="dxa"/>
          </w:tcPr>
          <w:p w:rsidRPr="00F07548" w:rsidR="00F07548" w:rsidP="00D3623B" w:rsidRDefault="00DF0C46" w14:paraId="2DD1542B" w14:textId="3145AE8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Portál</w:t>
            </w:r>
            <w:r w:rsidRPr="00F07548" w:rsidR="00F07548">
              <w:rPr>
                <w:rFonts w:ascii="Arial" w:hAnsi="Arial" w:cs="Arial"/>
              </w:rPr>
              <w:t xml:space="preserve"> bude disponovat formulářovým systémem, který bude součástí </w:t>
            </w:r>
            <w:r>
              <w:rPr>
                <w:rFonts w:ascii="Arial" w:hAnsi="Arial" w:cs="Arial"/>
              </w:rPr>
              <w:t>Portál</w:t>
            </w:r>
            <w:r w:rsidRPr="00F07548" w:rsidR="00F07548">
              <w:rPr>
                <w:rFonts w:ascii="Arial" w:hAnsi="Arial" w:cs="Arial"/>
              </w:rPr>
              <w:t>u občana společnosti Marbes s.r.o.</w:t>
            </w:r>
          </w:p>
          <w:p w:rsidRPr="00F07548" w:rsidR="00F07548" w:rsidP="00D3623B" w:rsidRDefault="00F07548" w14:paraId="5296AFFD" w14:textId="7B74F82E">
            <w:pPr>
              <w:spacing w:before="60" w:after="60"/>
              <w:rPr>
                <w:rFonts w:ascii="Arial" w:hAnsi="Arial" w:cs="Arial"/>
              </w:rPr>
            </w:pPr>
            <w:r w:rsidRPr="00F07548">
              <w:rPr>
                <w:rFonts w:ascii="Arial" w:hAnsi="Arial" w:cs="Arial"/>
              </w:rPr>
              <w:t xml:space="preserve">Výše uvedené autentizační prostředky budou integrovány do stávajícího rozhraní </w:t>
            </w:r>
            <w:r w:rsidR="00DF0C46">
              <w:rPr>
                <w:rFonts w:ascii="Arial" w:hAnsi="Arial" w:cs="Arial"/>
              </w:rPr>
              <w:t>Portál</w:t>
            </w:r>
            <w:r w:rsidRPr="00F07548">
              <w:rPr>
                <w:rFonts w:ascii="Arial" w:hAnsi="Arial" w:cs="Arial"/>
              </w:rPr>
              <w:t>u občana.</w:t>
            </w:r>
          </w:p>
        </w:tc>
        <w:tc>
          <w:tcPr>
            <w:tcW w:w="994" w:type="dxa"/>
          </w:tcPr>
          <w:p w:rsidRPr="00F07548" w:rsidR="00F07548" w:rsidP="00D3623B" w:rsidRDefault="00F07548" w14:paraId="79EA69DA" w14:textId="77777777">
            <w:pPr>
              <w:shd w:val="clear" w:color="auto" w:fill="FFFFFF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:rsidRPr="00F07548" w:rsidR="00F07548" w:rsidP="00D3623B" w:rsidRDefault="00F07548" w14:paraId="30EBD472" w14:textId="77777777">
            <w:pPr>
              <w:shd w:val="clear" w:color="auto" w:fill="FFFFFF"/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F07548" w:rsidP="00F07548" w:rsidRDefault="00F07548" w14:paraId="7BFAF9C6" w14:textId="77777777"/>
    <w:p w:rsidR="00191290" w:rsidP="00191290" w:rsidRDefault="009A2781" w14:paraId="6EDC019D" w14:textId="327149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191290">
        <w:rPr>
          <w:rFonts w:ascii="Arial" w:hAnsi="Arial" w:cs="Arial"/>
          <w:sz w:val="20"/>
          <w:szCs w:val="20"/>
        </w:rPr>
        <w:t xml:space="preserve">Přílohy </w:t>
      </w:r>
      <w:r w:rsidRPr="00191290" w:rsidR="00191290">
        <w:rPr>
          <w:rFonts w:ascii="Arial" w:hAnsi="Arial" w:cs="Arial"/>
          <w:sz w:val="20"/>
          <w:szCs w:val="20"/>
        </w:rPr>
        <w:t>Technick</w:t>
      </w:r>
      <w:r w:rsidR="00191290">
        <w:rPr>
          <w:rFonts w:ascii="Arial" w:hAnsi="Arial" w:cs="Arial"/>
          <w:sz w:val="20"/>
          <w:szCs w:val="20"/>
        </w:rPr>
        <w:t>é</w:t>
      </w:r>
      <w:r w:rsidRPr="00191290" w:rsidR="00191290">
        <w:rPr>
          <w:rFonts w:ascii="Arial" w:hAnsi="Arial" w:cs="Arial"/>
          <w:sz w:val="20"/>
          <w:szCs w:val="20"/>
        </w:rPr>
        <w:t xml:space="preserve"> specifikace</w:t>
      </w:r>
      <w:r w:rsidR="00191290">
        <w:rPr>
          <w:rFonts w:ascii="Arial" w:hAnsi="Arial" w:cs="Arial"/>
          <w:sz w:val="20"/>
          <w:szCs w:val="20"/>
        </w:rPr>
        <w:t xml:space="preserve"> </w:t>
      </w:r>
      <w:r w:rsidRPr="00191290" w:rsidR="00191290">
        <w:rPr>
          <w:rFonts w:ascii="Arial" w:hAnsi="Arial" w:cs="Arial"/>
          <w:sz w:val="20"/>
          <w:szCs w:val="20"/>
        </w:rPr>
        <w:t>ve veřejné zakázce</w:t>
      </w:r>
      <w:r w:rsidR="00191290">
        <w:rPr>
          <w:rFonts w:ascii="Arial" w:hAnsi="Arial" w:cs="Arial"/>
          <w:sz w:val="20"/>
          <w:szCs w:val="20"/>
        </w:rPr>
        <w:t xml:space="preserve"> </w:t>
      </w:r>
      <w:r w:rsidRPr="00191290" w:rsidR="00191290">
        <w:rPr>
          <w:rFonts w:ascii="Arial" w:hAnsi="Arial" w:cs="Arial"/>
          <w:sz w:val="20"/>
          <w:szCs w:val="20"/>
        </w:rPr>
        <w:t>„Rozšíření Portálu občana“</w:t>
      </w:r>
      <w:r w:rsidR="00191290">
        <w:rPr>
          <w:rFonts w:ascii="Arial" w:hAnsi="Arial" w:cs="Arial"/>
          <w:sz w:val="20"/>
          <w:szCs w:val="20"/>
        </w:rPr>
        <w:t>:</w:t>
      </w:r>
    </w:p>
    <w:p w:rsidRPr="00191290" w:rsidR="00191290" w:rsidP="00191290" w:rsidRDefault="00191290" w14:paraId="3F1201B8" w14:textId="2F1261CA">
      <w:pPr>
        <w:pStyle w:val="Odstavecseseznamem"/>
        <w:numPr>
          <w:ilvl w:val="0"/>
          <w:numId w:val="13"/>
        </w:numPr>
        <w:spacing w:before="120" w:after="120" w:line="240" w:lineRule="auto"/>
        <w:ind w:left="714" w:hanging="357"/>
        <w:contextualSpacing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výhradního dodavatele Marbes s.r.o.</w:t>
      </w:r>
    </w:p>
    <w:p w:rsidRPr="00191290" w:rsidR="00191290" w:rsidP="00191290" w:rsidRDefault="00B416FE" w14:paraId="420C5A6E" w14:textId="76340C29">
      <w:pPr>
        <w:pStyle w:val="Odstavecseseznamem"/>
        <w:numPr>
          <w:ilvl w:val="0"/>
          <w:numId w:val="13"/>
        </w:numPr>
        <w:spacing w:before="120" w:after="120" w:line="240" w:lineRule="auto"/>
        <w:ind w:left="714" w:hanging="357"/>
        <w:contextualSpacing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integračního rozhraní Portálu občana</w:t>
      </w:r>
    </w:p>
    <w:p w:rsidRPr="0026565C" w:rsidR="0026565C" w:rsidP="0026565C" w:rsidRDefault="0026565C" w14:paraId="6008D42B" w14:textId="194F1060">
      <w:pPr>
        <w:rPr>
          <w:rFonts w:ascii="Arial" w:hAnsi="Arial" w:cs="Arial"/>
          <w:sz w:val="20"/>
          <w:szCs w:val="20"/>
        </w:rPr>
      </w:pPr>
    </w:p>
    <w:sectPr w:rsidRPr="0026565C" w:rsidR="0026565C" w:rsidSect="005A0590">
      <w:headerReference w:type="default" r:id="rId8"/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E6186" w:rsidP="00C77504" w:rsidRDefault="00EE6186" w14:paraId="7E4DB478" w14:textId="77777777">
      <w:pPr>
        <w:spacing w:after="0" w:line="240" w:lineRule="auto"/>
      </w:pPr>
      <w:r>
        <w:separator/>
      </w:r>
    </w:p>
  </w:endnote>
  <w:endnote w:type="continuationSeparator" w:id="0">
    <w:p w:rsidR="00EE6186" w:rsidP="00C77504" w:rsidRDefault="00EE6186" w14:paraId="60F165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95136" w:rsidRDefault="00F07548" w14:paraId="7650C475" w14:textId="3F766783">
    <w:pPr>
      <w:pStyle w:val="Zpat"/>
    </w:pPr>
    <w:r>
      <w:rPr>
        <w:rFonts w:ascii="Arial" w:hAnsi="Arial" w:cs="Arial"/>
        <w:i/>
        <w:iCs/>
        <w:sz w:val="16"/>
        <w:szCs w:val="16"/>
      </w:rPr>
      <w:t>PO-</w:t>
    </w:r>
    <w:r w:rsidRPr="005D4A04" w:rsidR="00C95136">
      <w:rPr>
        <w:rFonts w:ascii="Arial" w:hAnsi="Arial" w:cs="Arial"/>
        <w:i/>
        <w:iCs/>
        <w:sz w:val="16"/>
        <w:szCs w:val="16"/>
      </w:rPr>
      <w:t>P0</w:t>
    </w:r>
    <w:r w:rsidR="00C95136">
      <w:rPr>
        <w:rFonts w:ascii="Arial" w:hAnsi="Arial" w:cs="Arial"/>
        <w:i/>
        <w:iCs/>
        <w:sz w:val="16"/>
        <w:szCs w:val="16"/>
      </w:rPr>
      <w:t>5</w:t>
    </w:r>
    <w:r w:rsidRPr="005D4A04" w:rsidR="00C95136">
      <w:rPr>
        <w:rFonts w:ascii="Arial" w:hAnsi="Arial" w:cs="Arial"/>
        <w:i/>
        <w:iCs/>
        <w:sz w:val="16"/>
        <w:szCs w:val="16"/>
      </w:rPr>
      <w:t>_</w:t>
    </w:r>
    <w:r w:rsidR="00C95136">
      <w:rPr>
        <w:rFonts w:ascii="Arial" w:hAnsi="Arial" w:cs="Arial"/>
        <w:i/>
        <w:iCs/>
        <w:sz w:val="16"/>
        <w:szCs w:val="16"/>
      </w:rPr>
      <w:t>Technická specifikace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E6186" w:rsidP="00C77504" w:rsidRDefault="00EE6186" w14:paraId="2C28CDF8" w14:textId="77777777">
      <w:pPr>
        <w:spacing w:after="0" w:line="240" w:lineRule="auto"/>
      </w:pPr>
      <w:r>
        <w:separator/>
      </w:r>
    </w:p>
  </w:footnote>
  <w:footnote w:type="continuationSeparator" w:id="0">
    <w:p w:rsidR="00EE6186" w:rsidP="00C77504" w:rsidRDefault="00EE6186" w14:paraId="27328E5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6565C" w:rsidP="00C95136" w:rsidRDefault="0026565C" w14:paraId="058A2317" w14:textId="1C317D94">
    <w:pPr>
      <w:pStyle w:val="Zhlav"/>
    </w:pPr>
    <w:r w:rsidRPr="001C1FC2">
      <w:rPr>
        <w:noProof/>
        <w:lang w:eastAsia="cs-CZ"/>
      </w:rPr>
      <w:drawing>
        <wp:anchor distT="0" distB="0" distL="114300" distR="114300" simplePos="false" relativeHeight="251661312" behindDoc="true" locked="false" layoutInCell="true" allowOverlap="true" wp14:anchorId="3FA5811F" wp14:editId="41D260E9">
          <wp:simplePos x="0" y="0"/>
          <wp:positionH relativeFrom="margin">
            <wp:posOffset>5401734</wp:posOffset>
          </wp:positionH>
          <wp:positionV relativeFrom="paragraph">
            <wp:posOffset>1561</wp:posOffset>
          </wp:positionV>
          <wp:extent cx="1048039" cy="589998"/>
          <wp:effectExtent l="0" t="0" r="0" b="635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C95136" w:rsidR="00C95136" w:rsidP="00C95136" w:rsidRDefault="00C95136" w14:paraId="2379A56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B77F4C"/>
    <w:multiLevelType w:val="hybridMultilevel"/>
    <w:tmpl w:val="90D275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391F"/>
    <w:multiLevelType w:val="hybridMultilevel"/>
    <w:tmpl w:val="2CF285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E2145"/>
    <w:multiLevelType w:val="hybridMultilevel"/>
    <w:tmpl w:val="FD30A8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18A1BEC"/>
    <w:multiLevelType w:val="hybridMultilevel"/>
    <w:tmpl w:val="B3C86C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44F4565"/>
    <w:multiLevelType w:val="hybridMultilevel"/>
    <w:tmpl w:val="0890CC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A5663C3"/>
    <w:multiLevelType w:val="hybridMultilevel"/>
    <w:tmpl w:val="EA38136C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>
    <w:nsid w:val="3320071C"/>
    <w:multiLevelType w:val="multilevel"/>
    <w:tmpl w:val="E30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E2413E7"/>
    <w:multiLevelType w:val="hybridMultilevel"/>
    <w:tmpl w:val="546E70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E302E3B"/>
    <w:multiLevelType w:val="hybridMultilevel"/>
    <w:tmpl w:val="46047C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8057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6E6498F"/>
    <w:multiLevelType w:val="hybridMultilevel"/>
    <w:tmpl w:val="36581644"/>
    <w:lvl w:ilvl="0" w:tplc="81F40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9B0B5F"/>
    <w:multiLevelType w:val="hybridMultilevel"/>
    <w:tmpl w:val="611E4F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B39D8"/>
    <w:multiLevelType w:val="hybridMultilevel"/>
    <w:tmpl w:val="22CC3F7E"/>
    <w:lvl w:ilvl="0" w:tplc="F94679D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C5"/>
    <w:rsid w:val="00003D1E"/>
    <w:rsid w:val="000070D8"/>
    <w:rsid w:val="000220B1"/>
    <w:rsid w:val="00050322"/>
    <w:rsid w:val="00054B1F"/>
    <w:rsid w:val="000B2AA9"/>
    <w:rsid w:val="00125DCE"/>
    <w:rsid w:val="001570EF"/>
    <w:rsid w:val="00191290"/>
    <w:rsid w:val="001A5729"/>
    <w:rsid w:val="001C63BB"/>
    <w:rsid w:val="001C7CFC"/>
    <w:rsid w:val="002378F3"/>
    <w:rsid w:val="00250BC0"/>
    <w:rsid w:val="0026565C"/>
    <w:rsid w:val="002A5EFB"/>
    <w:rsid w:val="002B3B38"/>
    <w:rsid w:val="002F3085"/>
    <w:rsid w:val="0030533B"/>
    <w:rsid w:val="00357511"/>
    <w:rsid w:val="003873BE"/>
    <w:rsid w:val="003C558C"/>
    <w:rsid w:val="003D2DF9"/>
    <w:rsid w:val="003E1302"/>
    <w:rsid w:val="003F1CB7"/>
    <w:rsid w:val="004716EE"/>
    <w:rsid w:val="004752A1"/>
    <w:rsid w:val="00490D5E"/>
    <w:rsid w:val="0049357D"/>
    <w:rsid w:val="004B7A56"/>
    <w:rsid w:val="00531315"/>
    <w:rsid w:val="00535580"/>
    <w:rsid w:val="0057448F"/>
    <w:rsid w:val="005A0590"/>
    <w:rsid w:val="005D6FE5"/>
    <w:rsid w:val="005F6D94"/>
    <w:rsid w:val="0061718C"/>
    <w:rsid w:val="006251C4"/>
    <w:rsid w:val="00653A38"/>
    <w:rsid w:val="00663AED"/>
    <w:rsid w:val="006A18A0"/>
    <w:rsid w:val="006C21AC"/>
    <w:rsid w:val="006C463B"/>
    <w:rsid w:val="006C77EB"/>
    <w:rsid w:val="006D679E"/>
    <w:rsid w:val="00716D63"/>
    <w:rsid w:val="007473DB"/>
    <w:rsid w:val="0075378E"/>
    <w:rsid w:val="00770D0E"/>
    <w:rsid w:val="007A4AEA"/>
    <w:rsid w:val="007A75C5"/>
    <w:rsid w:val="007D15AB"/>
    <w:rsid w:val="007D3E7D"/>
    <w:rsid w:val="007E4CAF"/>
    <w:rsid w:val="00854822"/>
    <w:rsid w:val="00897C51"/>
    <w:rsid w:val="008B02D0"/>
    <w:rsid w:val="00912187"/>
    <w:rsid w:val="00944B67"/>
    <w:rsid w:val="00945BDD"/>
    <w:rsid w:val="009710A0"/>
    <w:rsid w:val="00991DFA"/>
    <w:rsid w:val="009A0808"/>
    <w:rsid w:val="009A2781"/>
    <w:rsid w:val="009F3681"/>
    <w:rsid w:val="00A15F39"/>
    <w:rsid w:val="00A43AED"/>
    <w:rsid w:val="00A540E5"/>
    <w:rsid w:val="00AA541E"/>
    <w:rsid w:val="00AA5E49"/>
    <w:rsid w:val="00AE7625"/>
    <w:rsid w:val="00B0359E"/>
    <w:rsid w:val="00B06B1F"/>
    <w:rsid w:val="00B07334"/>
    <w:rsid w:val="00B416FE"/>
    <w:rsid w:val="00B42352"/>
    <w:rsid w:val="00B822FC"/>
    <w:rsid w:val="00B852BC"/>
    <w:rsid w:val="00B94478"/>
    <w:rsid w:val="00BB69F7"/>
    <w:rsid w:val="00C053B2"/>
    <w:rsid w:val="00C254ED"/>
    <w:rsid w:val="00C57A9D"/>
    <w:rsid w:val="00C77504"/>
    <w:rsid w:val="00C86960"/>
    <w:rsid w:val="00C95136"/>
    <w:rsid w:val="00CF294A"/>
    <w:rsid w:val="00D3623B"/>
    <w:rsid w:val="00D40585"/>
    <w:rsid w:val="00D54ACE"/>
    <w:rsid w:val="00D62F3B"/>
    <w:rsid w:val="00D801F3"/>
    <w:rsid w:val="00DA36F4"/>
    <w:rsid w:val="00DB6719"/>
    <w:rsid w:val="00DC222E"/>
    <w:rsid w:val="00DE772A"/>
    <w:rsid w:val="00DF0C46"/>
    <w:rsid w:val="00E151DD"/>
    <w:rsid w:val="00E20EB3"/>
    <w:rsid w:val="00E47F2E"/>
    <w:rsid w:val="00E73E27"/>
    <w:rsid w:val="00E82B81"/>
    <w:rsid w:val="00ED31D5"/>
    <w:rsid w:val="00ED5F2D"/>
    <w:rsid w:val="00EE2783"/>
    <w:rsid w:val="00EE6186"/>
    <w:rsid w:val="00F07548"/>
    <w:rsid w:val="00F431F2"/>
    <w:rsid w:val="00F65303"/>
    <w:rsid w:val="00F8224E"/>
    <w:rsid w:val="00FA42ED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chartTrackingRefBased/>
  <w14:docId w14:val="07F422A0"/>
  <w15:docId w15:val="{5932702E-D34A-4D8E-8C4F-DB245DC8558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A75C5"/>
  </w:style>
  <w:style w:type="paragraph" w:styleId="Nadpis1">
    <w:name w:val="heading 1"/>
    <w:basedOn w:val="Normln"/>
    <w:next w:val="Normln"/>
    <w:link w:val="Nadpis1Char"/>
    <w:uiPriority w:val="9"/>
    <w:qFormat/>
    <w:rsid w:val="00F07548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7548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548"/>
    <w:pPr>
      <w:pBdr>
        <w:top w:val="dotted" w:color="4472C4" w:themeColor="accent1" w:sz="6" w:space="2"/>
      </w:pBdr>
      <w:spacing w:before="200" w:after="0" w:line="276" w:lineRule="auto"/>
      <w:outlineLvl w:val="3"/>
    </w:pPr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5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750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77504"/>
  </w:style>
  <w:style w:type="paragraph" w:styleId="Zpat">
    <w:name w:val="footer"/>
    <w:basedOn w:val="Normln"/>
    <w:link w:val="ZpatChar"/>
    <w:uiPriority w:val="99"/>
    <w:unhideWhenUsed/>
    <w:rsid w:val="00C7750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77504"/>
  </w:style>
  <w:style w:type="paragraph" w:styleId="Nzev">
    <w:name w:val="Title"/>
    <w:basedOn w:val="Normln"/>
    <w:next w:val="Normln"/>
    <w:link w:val="NzevChar"/>
    <w:qFormat/>
    <w:rsid w:val="00B822FC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B822FC"/>
    <w:rPr>
      <w:rFonts w:ascii="Arial" w:hAnsi="Arial" w:eastAsia="Times New Roman" w:cs="Arial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7C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CF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C7C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CF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C7C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A18A0"/>
    <w:rPr>
      <w:rFonts w:ascii="Segoe UI" w:hAnsi="Segoe UI" w:cs="Segoe UI"/>
      <w:sz w:val="18"/>
      <w:szCs w:val="18"/>
    </w:rPr>
  </w:style>
  <w:style w:type="character" w:styleId="Nadpis1Char" w:customStyle="true">
    <w:name w:val="Nadpis 1 Char"/>
    <w:basedOn w:val="Standardnpsmoodstavce"/>
    <w:link w:val="Nadpis1"/>
    <w:uiPriority w:val="9"/>
    <w:rsid w:val="00F07548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character" w:styleId="Nadpis2Char" w:customStyle="true">
    <w:name w:val="Nadpis 2 Char"/>
    <w:basedOn w:val="Standardnpsmoodstavce"/>
    <w:link w:val="Nadpis2"/>
    <w:uiPriority w:val="9"/>
    <w:rsid w:val="00F07548"/>
    <w:rPr>
      <w:rFonts w:eastAsiaTheme="minorEastAsia"/>
      <w:caps/>
      <w:spacing w:val="15"/>
      <w:sz w:val="20"/>
      <w:szCs w:val="20"/>
      <w:shd w:val="clear" w:color="auto" w:fill="D9E2F3" w:themeFill="accent1" w:themeFillTint="33"/>
    </w:rPr>
  </w:style>
  <w:style w:type="character" w:styleId="Nadpis4Char" w:customStyle="true">
    <w:name w:val="Nadpis 4 Char"/>
    <w:basedOn w:val="Standardnpsmoodstavce"/>
    <w:link w:val="Nadpis4"/>
    <w:uiPriority w:val="9"/>
    <w:rsid w:val="00F07548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table" w:styleId="Mkatabulky">
    <w:name w:val="Table Grid"/>
    <w:basedOn w:val="Normlntabulka"/>
    <w:uiPriority w:val="39"/>
    <w:rsid w:val="00F0754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75582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E6A8C4E-B751-48FC-85EF-0E47CB5BCF0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1541</properties:Words>
  <properties:Characters>9095</properties:Characters>
  <properties:Lines>75</properties:Lines>
  <properties:Paragraphs>21</properties:Paragraphs>
  <properties:TotalTime>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2021-07-15T11:59:00Z</dcterms:created>
  <dc:creator/>
  <dc:description/>
  <cp:keywords/>
  <cp:lastModifiedBy/>
  <dcterms:modified xmlns:xsi="http://www.w3.org/2001/XMLSchema-instance" xsi:type="dcterms:W3CDTF">2022-02-28T21:35:00Z</dcterms:modified>
  <cp:revision>5</cp:revision>
  <dc:subject/>
  <dc:title/>
</cp:coreProperties>
</file>