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61E2D331" w14:textId="7A879B54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23433B">
        <w:rPr>
          <w:rFonts w:ascii="Palatino Linotype" w:hAnsi="Palatino Linotype" w:cs="Arial" w:eastAsiaTheme="minorEastAsia"/>
          <w:b/>
          <w:bCs/>
          <w:sz w:val="20"/>
          <w:szCs w:val="20"/>
        </w:rPr>
        <w:t>10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="00C0169B" w:rsidP="0023433B" w:rsidRDefault="0023433B" w14:paraId="422ABCB2" w14:textId="569F9D95">
      <w:pPr>
        <w:spacing w:before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ZPŮSOB HODNOCENÍ</w:t>
      </w:r>
    </w:p>
    <w:p w:rsidRPr="007B4B68" w:rsidR="0023433B" w:rsidP="002C015F" w:rsidRDefault="005272DE" w14:paraId="3574A30B" w14:textId="271BD272">
      <w:pPr>
        <w:spacing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KVALITY ZDROJOVÉHO KÓ</w:t>
      </w:r>
      <w:r w:rsidR="0023433B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DU </w:t>
      </w:r>
      <w:r w:rsidR="00D4569F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VYBRANÉ </w:t>
      </w:r>
      <w:r w:rsidR="0023433B">
        <w:rPr>
          <w:rFonts w:ascii="Palatino Linotype" w:hAnsi="Palatino Linotype" w:cs="Arial" w:eastAsiaTheme="minorEastAsia"/>
          <w:b/>
          <w:bCs/>
          <w:sz w:val="28"/>
          <w:szCs w:val="28"/>
        </w:rPr>
        <w:t>ZAKÁZKY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627C0D" w14:paraId="1F8EF66B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7C95E382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5D50B9" w14:paraId="1D45F32E" w14:textId="09B88955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5D50B9">
              <w:rPr>
                <w:rFonts w:ascii="Palatino Linotype" w:hAnsi="Palatino Linotype" w:cs="Arial" w:eastAsiaTheme="minorEastAsia"/>
                <w:b/>
              </w:rPr>
              <w:t>Pořízení nových webových stránek</w:t>
            </w:r>
            <w:r w:rsidR="00ED4D7E">
              <w:rPr>
                <w:rFonts w:ascii="Palatino Linotype" w:hAnsi="Palatino Linotype" w:cs="Arial" w:eastAsiaTheme="minorEastAsia"/>
                <w:b/>
              </w:rPr>
              <w:t xml:space="preserve"> </w:t>
            </w:r>
            <w:r w:rsidR="00216610">
              <w:rPr>
                <w:rFonts w:ascii="Palatino Linotype" w:hAnsi="Palatino Linotype" w:cs="Arial" w:eastAsiaTheme="minorEastAsia"/>
                <w:b/>
              </w:rPr>
              <w:t>I</w:t>
            </w:r>
            <w:r w:rsidR="00ED4D7E">
              <w:rPr>
                <w:rFonts w:ascii="Palatino Linotype" w:hAnsi="Palatino Linotype" w:cs="Arial" w:eastAsiaTheme="minorEastAsia"/>
                <w:b/>
              </w:rPr>
              <w:t>II</w:t>
            </w:r>
          </w:p>
        </w:tc>
      </w:tr>
      <w:tr w:rsidRPr="007B4B68" w:rsidR="00C0169B" w:rsidTr="00627C0D" w14:paraId="152E83D1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6489A146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EFCD971" w14:textId="75632431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3483B282" w14:textId="3D264978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799"/>
      </w:tblGrid>
      <w:tr w:rsidRPr="007B4B68" w:rsidR="00851545" w:rsidTr="00DF0D7F" w14:paraId="0307A1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4EB737F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0CABA63C" w14:textId="531D8D9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851545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851545" w:rsidTr="00DF0D7F" w14:paraId="62A72A1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6C85B5D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3160E8CB" w14:textId="0134482F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851545" w:rsidTr="00DF0D7F" w14:paraId="2C333E2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420796B1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4A2D7691" w14:textId="24BBE99E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851545" w:rsidTr="00DF0D7F" w14:paraId="77ECE50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44E4FE58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709A8212" w14:textId="4CAC1511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851545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851545" w:rsidTr="00DF0D7F" w14:paraId="6A81F41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61B2C5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3BD85AB0" w14:textId="2086EBBA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00DD6766" w14:textId="48D46F9F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2E741B" w14:paraId="029F6A7F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3B63E6F0" w14:textId="49484C86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04E894C4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38C52D6E" w14:textId="73ACE1FC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6C9DA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612705C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99FE42A" w14:textId="62870C19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36010B9B" w14:textId="0F614FE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F38DC0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6E72444" w14:textId="2342665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4C673A6A" w14:textId="5B76806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828874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116C17F" w14:textId="45F635C4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0A032C" w14:textId="68D200D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5C0B3C0B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3949FC7" w14:textId="44CD9D45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7C2823D" w14:textId="627384CE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2C015F" w:rsidR="003D4A69" w:rsidP="002C015F" w:rsidRDefault="00627C0D" w14:paraId="33C18BF7" w14:textId="662631EC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3D047E" w:rsidR="002C015F" w:rsidP="002C5258" w:rsidRDefault="002C015F" w14:paraId="62561BE0" w14:textId="77777777">
      <w:pPr>
        <w:jc w:val="both"/>
        <w:rPr>
          <w:rFonts w:ascii="Palatino Linotype" w:hAnsi="Palatino Linotype" w:cs="Arial"/>
          <w:b/>
          <w:sz w:val="10"/>
          <w:szCs w:val="10"/>
        </w:rPr>
      </w:pPr>
    </w:p>
    <w:p w:rsidRPr="002C5258" w:rsidR="005272DE" w:rsidP="003D047E" w:rsidRDefault="005272DE" w14:paraId="5404526E" w14:textId="716532E2">
      <w:pPr>
        <w:spacing w:before="60" w:after="60"/>
        <w:jc w:val="both"/>
        <w:rPr>
          <w:rFonts w:ascii="Palatino Linotype" w:hAnsi="Palatino Linotype"/>
          <w:spacing w:val="-4"/>
          <w:sz w:val="20"/>
          <w:szCs w:val="20"/>
        </w:rPr>
      </w:pPr>
      <w:r w:rsidRPr="002C5258">
        <w:rPr>
          <w:rFonts w:ascii="Palatino Linotype" w:hAnsi="Palatino Linotype"/>
          <w:spacing w:val="-4"/>
          <w:sz w:val="20"/>
          <w:szCs w:val="20"/>
        </w:rPr>
        <w:t>Kvalit</w:t>
      </w:r>
      <w:r w:rsidRPr="002C5258" w:rsidR="003D047E">
        <w:rPr>
          <w:rFonts w:ascii="Palatino Linotype" w:hAnsi="Palatino Linotype"/>
          <w:spacing w:val="-4"/>
          <w:sz w:val="20"/>
          <w:szCs w:val="20"/>
        </w:rPr>
        <w:t>u</w:t>
      </w:r>
      <w:r w:rsidRPr="002C5258">
        <w:rPr>
          <w:rFonts w:ascii="Palatino Linotype" w:hAnsi="Palatino Linotype"/>
          <w:spacing w:val="-4"/>
          <w:sz w:val="20"/>
          <w:szCs w:val="20"/>
        </w:rPr>
        <w:t xml:space="preserve"> zdrojového kódu </w:t>
      </w:r>
      <w:r w:rsidRPr="002C5258" w:rsidR="00D4569F">
        <w:rPr>
          <w:rFonts w:ascii="Palatino Linotype" w:hAnsi="Palatino Linotype"/>
          <w:spacing w:val="-4"/>
          <w:sz w:val="20"/>
          <w:szCs w:val="20"/>
        </w:rPr>
        <w:t xml:space="preserve">vybrané </w:t>
      </w:r>
      <w:r w:rsidRPr="002C5258">
        <w:rPr>
          <w:rFonts w:ascii="Palatino Linotype" w:hAnsi="Palatino Linotype"/>
          <w:spacing w:val="-4"/>
          <w:sz w:val="20"/>
          <w:szCs w:val="20"/>
        </w:rPr>
        <w:t xml:space="preserve">zakázky v rámci každého jednotlivého hodnotícího </w:t>
      </w:r>
      <w:proofErr w:type="spellStart"/>
      <w:r w:rsidRPr="002C5258">
        <w:rPr>
          <w:rFonts w:ascii="Palatino Linotype" w:hAnsi="Palatino Linotype"/>
          <w:spacing w:val="-4"/>
          <w:sz w:val="20"/>
          <w:szCs w:val="20"/>
        </w:rPr>
        <w:t>subkritéria</w:t>
      </w:r>
      <w:proofErr w:type="spellEnd"/>
      <w:r w:rsidRPr="002C5258">
        <w:rPr>
          <w:rFonts w:ascii="Palatino Linotype" w:hAnsi="Palatino Linotype"/>
          <w:spacing w:val="-4"/>
          <w:sz w:val="20"/>
          <w:szCs w:val="20"/>
        </w:rPr>
        <w:t xml:space="preserve"> a každé jednotlivé hodnocené vlastnosti zdrojového kódu bude posuzovat zadavatel či příslušná hodnotící komise</w:t>
      </w:r>
    </w:p>
    <w:p w:rsidRPr="003D047E" w:rsidR="005272DE" w:rsidP="003D047E" w:rsidRDefault="005272DE" w14:paraId="7381F9D9" w14:textId="525DEF47">
      <w:pPr>
        <w:spacing w:before="60" w:after="60"/>
        <w:jc w:val="both"/>
        <w:rPr>
          <w:rFonts w:ascii="Palatino Linotype" w:hAnsi="Palatino Linotype"/>
          <w:sz w:val="20"/>
          <w:szCs w:val="20"/>
        </w:rPr>
      </w:pPr>
      <w:r w:rsidRPr="003D047E">
        <w:rPr>
          <w:rFonts w:ascii="Palatino Linotype" w:hAnsi="Palatino Linotype"/>
          <w:sz w:val="20"/>
          <w:szCs w:val="20"/>
        </w:rPr>
        <w:t>V rámci posouzení a hodnocení kvality zdrojového kódu</w:t>
      </w:r>
      <w:r w:rsidR="00D4569F">
        <w:rPr>
          <w:rFonts w:ascii="Palatino Linotype" w:hAnsi="Palatino Linotype"/>
          <w:sz w:val="20"/>
          <w:szCs w:val="20"/>
        </w:rPr>
        <w:t xml:space="preserve"> vybrané</w:t>
      </w:r>
      <w:r w:rsidRPr="003D047E">
        <w:rPr>
          <w:rFonts w:ascii="Palatino Linotype" w:hAnsi="Palatino Linotype"/>
          <w:sz w:val="20"/>
          <w:szCs w:val="20"/>
        </w:rPr>
        <w:t xml:space="preserve"> zakázky bude zadavatel či hodnotící komise vycházet z odborných znalostí, zkušeností a dovedností osob pověřených hodnocením i podkladů předaných účastníky v jejich nabídkách. </w:t>
      </w:r>
    </w:p>
    <w:p w:rsidR="00817803" w:rsidP="003D047E" w:rsidRDefault="005272DE" w14:paraId="160CB485" w14:textId="77777777">
      <w:pPr>
        <w:spacing w:before="60" w:after="60"/>
        <w:jc w:val="both"/>
        <w:rPr>
          <w:rFonts w:ascii="Palatino Linotype" w:hAnsi="Palatino Linotype"/>
          <w:sz w:val="20"/>
          <w:szCs w:val="20"/>
        </w:rPr>
      </w:pPr>
      <w:r w:rsidRPr="003D047E">
        <w:rPr>
          <w:rFonts w:ascii="Palatino Linotype" w:hAnsi="Palatino Linotype"/>
          <w:sz w:val="20"/>
          <w:szCs w:val="20"/>
        </w:rPr>
        <w:t xml:space="preserve">Posouzena a hodnocena bude každá jednotlivá položka nabídky samostatně, tj. bude zvlášť hodnocena každá jednotlivá vlastnost zdrojového kódu v rámci hodnotícího </w:t>
      </w:r>
      <w:proofErr w:type="spellStart"/>
      <w:r w:rsidRPr="003D047E">
        <w:rPr>
          <w:rFonts w:ascii="Palatino Linotype" w:hAnsi="Palatino Linotype"/>
          <w:sz w:val="20"/>
          <w:szCs w:val="20"/>
        </w:rPr>
        <w:t>subkritéria</w:t>
      </w:r>
      <w:proofErr w:type="spellEnd"/>
      <w:r w:rsidRPr="003D047E">
        <w:rPr>
          <w:rFonts w:ascii="Palatino Linotype" w:hAnsi="Palatino Linotype"/>
          <w:sz w:val="20"/>
          <w:szCs w:val="20"/>
        </w:rPr>
        <w:t xml:space="preserve">, a to přidělením příslušného počtu bodů </w:t>
      </w:r>
      <w:r w:rsidR="003D047E">
        <w:rPr>
          <w:rFonts w:ascii="Palatino Linotype" w:hAnsi="Palatino Linotype"/>
          <w:sz w:val="20"/>
          <w:szCs w:val="20"/>
        </w:rPr>
        <w:t>dle níže uvedeného „</w:t>
      </w:r>
      <w:r w:rsidRPr="003D047E" w:rsidR="003D047E">
        <w:rPr>
          <w:rFonts w:ascii="Palatino Linotype" w:hAnsi="Palatino Linotype"/>
          <w:b/>
          <w:sz w:val="20"/>
          <w:szCs w:val="20"/>
        </w:rPr>
        <w:t>Bodové</w:t>
      </w:r>
      <w:r w:rsidR="003D047E">
        <w:rPr>
          <w:rFonts w:ascii="Palatino Linotype" w:hAnsi="Palatino Linotype"/>
          <w:b/>
          <w:sz w:val="20"/>
          <w:szCs w:val="20"/>
        </w:rPr>
        <w:t>ho</w:t>
      </w:r>
      <w:r w:rsidRPr="003D047E" w:rsidR="003D047E">
        <w:rPr>
          <w:rFonts w:ascii="Palatino Linotype" w:hAnsi="Palatino Linotype"/>
          <w:b/>
          <w:sz w:val="20"/>
          <w:szCs w:val="20"/>
        </w:rPr>
        <w:t xml:space="preserve"> ohodnocení</w:t>
      </w:r>
      <w:r w:rsidR="003D047E">
        <w:rPr>
          <w:rFonts w:ascii="Palatino Linotype" w:hAnsi="Palatino Linotype"/>
          <w:b/>
          <w:sz w:val="20"/>
          <w:szCs w:val="20"/>
        </w:rPr>
        <w:t xml:space="preserve"> </w:t>
      </w:r>
      <w:r w:rsidRPr="003D047E" w:rsidR="003D047E">
        <w:rPr>
          <w:rFonts w:ascii="Palatino Linotype" w:hAnsi="Palatino Linotype"/>
          <w:b/>
          <w:bCs/>
          <w:sz w:val="20"/>
          <w:szCs w:val="20"/>
        </w:rPr>
        <w:t>vlastnost</w:t>
      </w:r>
      <w:r w:rsidR="00D4569F">
        <w:rPr>
          <w:rFonts w:ascii="Palatino Linotype" w:hAnsi="Palatino Linotype"/>
          <w:b/>
          <w:bCs/>
          <w:sz w:val="20"/>
          <w:szCs w:val="20"/>
        </w:rPr>
        <w:t>í</w:t>
      </w:r>
      <w:r w:rsidRPr="003D047E" w:rsidR="003D047E">
        <w:rPr>
          <w:rFonts w:ascii="Palatino Linotype" w:hAnsi="Palatino Linotype"/>
          <w:b/>
          <w:bCs/>
          <w:sz w:val="20"/>
          <w:szCs w:val="20"/>
        </w:rPr>
        <w:t xml:space="preserve"> zdrojového kódu</w:t>
      </w:r>
      <w:r w:rsidR="003D047E">
        <w:rPr>
          <w:rFonts w:ascii="Palatino Linotype" w:hAnsi="Palatino Linotype"/>
          <w:b/>
          <w:bCs/>
          <w:sz w:val="20"/>
          <w:szCs w:val="20"/>
        </w:rPr>
        <w:t>“</w:t>
      </w:r>
      <w:r w:rsidR="003D047E">
        <w:rPr>
          <w:rFonts w:ascii="Palatino Linotype" w:hAnsi="Palatino Linotype"/>
          <w:sz w:val="20"/>
          <w:szCs w:val="20"/>
        </w:rPr>
        <w:t xml:space="preserve"> (v </w:t>
      </w:r>
      <w:r w:rsidRPr="003D047E">
        <w:rPr>
          <w:rFonts w:ascii="Palatino Linotype" w:hAnsi="Palatino Linotype"/>
          <w:sz w:val="20"/>
          <w:szCs w:val="20"/>
        </w:rPr>
        <w:t>rámci každé jednotlivé hodnocené vlastnosti zdrojového kódu</w:t>
      </w:r>
      <w:r w:rsidR="003D047E">
        <w:rPr>
          <w:rFonts w:ascii="Palatino Linotype" w:hAnsi="Palatino Linotype"/>
          <w:sz w:val="20"/>
          <w:szCs w:val="20"/>
        </w:rPr>
        <w:t>).</w:t>
      </w:r>
      <w:r w:rsidR="00817803">
        <w:rPr>
          <w:rFonts w:ascii="Palatino Linotype" w:hAnsi="Palatino Linotype"/>
          <w:sz w:val="20"/>
          <w:szCs w:val="20"/>
        </w:rPr>
        <w:t xml:space="preserve"> Hodnoceno bude v rámci bodové škály u jednotlivých vlastností (funkcionalit) zdrojového kódu následujícím způsobem:</w:t>
      </w:r>
    </w:p>
    <w:p w:rsidRPr="00817803" w:rsidR="00817803" w:rsidP="00817803" w:rsidRDefault="00817803" w14:paraId="4D137409" w14:textId="4506BA01">
      <w:pPr>
        <w:pStyle w:val="Odstavecseseznamem"/>
        <w:numPr>
          <w:ilvl w:val="0"/>
          <w:numId w:val="35"/>
        </w:numPr>
        <w:spacing w:before="60" w:after="60"/>
        <w:ind w:left="567" w:hanging="283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17803">
        <w:rPr>
          <w:rFonts w:ascii="Palatino Linotype" w:hAnsi="Palatino Linotype"/>
          <w:b/>
          <w:bCs/>
          <w:sz w:val="20"/>
          <w:szCs w:val="20"/>
        </w:rPr>
        <w:t xml:space="preserve">2 body (zcela splněno), </w:t>
      </w:r>
    </w:p>
    <w:p w:rsidRPr="00BD6586" w:rsidR="00817803" w:rsidP="00817803" w:rsidRDefault="00817803" w14:paraId="6DC721FD" w14:textId="54A2D1F2">
      <w:pPr>
        <w:pStyle w:val="Odstavecseseznamem"/>
        <w:numPr>
          <w:ilvl w:val="0"/>
          <w:numId w:val="35"/>
        </w:numPr>
        <w:spacing w:before="60" w:after="60"/>
        <w:ind w:left="567" w:hanging="283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17803">
        <w:rPr>
          <w:rFonts w:ascii="Palatino Linotype" w:hAnsi="Palatino Linotype"/>
          <w:b/>
          <w:bCs/>
          <w:sz w:val="20"/>
          <w:szCs w:val="20"/>
        </w:rPr>
        <w:t>1 bod (částečně splněno)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817803">
        <w:rPr>
          <w:rFonts w:ascii="Palatino Linotype" w:hAnsi="Palatino Linotype"/>
          <w:i/>
          <w:iCs/>
          <w:sz w:val="20"/>
          <w:szCs w:val="20"/>
        </w:rPr>
        <w:t>(</w:t>
      </w:r>
      <w:r w:rsidRPr="00BD6586">
        <w:rPr>
          <w:rFonts w:ascii="Palatino Linotype" w:hAnsi="Palatino Linotype"/>
          <w:i/>
          <w:iCs/>
          <w:sz w:val="20"/>
          <w:szCs w:val="20"/>
        </w:rPr>
        <w:t>pozn. u některých funkcionalit nemusí</w:t>
      </w:r>
      <w:r w:rsidRPr="00BD6586" w:rsidR="002C5258">
        <w:rPr>
          <w:rFonts w:ascii="Palatino Linotype" w:hAnsi="Palatino Linotype"/>
          <w:i/>
          <w:iCs/>
          <w:sz w:val="20"/>
          <w:szCs w:val="20"/>
        </w:rPr>
        <w:t xml:space="preserve"> být hodnocení částečného splnění</w:t>
      </w:r>
      <w:r w:rsidRPr="00BD6586">
        <w:rPr>
          <w:rFonts w:ascii="Palatino Linotype" w:hAnsi="Palatino Linotype"/>
          <w:i/>
          <w:iCs/>
          <w:sz w:val="20"/>
          <w:szCs w:val="20"/>
        </w:rPr>
        <w:t>)</w:t>
      </w:r>
    </w:p>
    <w:p w:rsidRPr="00BD6586" w:rsidR="00817803" w:rsidP="00817803" w:rsidRDefault="00817803" w14:paraId="6D8B1031" w14:textId="5D13840D">
      <w:pPr>
        <w:pStyle w:val="Odstavecseseznamem"/>
        <w:numPr>
          <w:ilvl w:val="0"/>
          <w:numId w:val="35"/>
        </w:numPr>
        <w:spacing w:before="60" w:after="60"/>
        <w:ind w:left="567" w:hanging="283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D6586">
        <w:rPr>
          <w:rFonts w:ascii="Palatino Linotype" w:hAnsi="Palatino Linotype"/>
          <w:b/>
          <w:bCs/>
          <w:sz w:val="20"/>
          <w:szCs w:val="20"/>
        </w:rPr>
        <w:t>0 bodů (nesplněno)</w:t>
      </w:r>
    </w:p>
    <w:p w:rsidR="003D047E" w:rsidP="003D047E" w:rsidRDefault="003D047E" w14:paraId="508D4D2D" w14:textId="4B78DAE2">
      <w:pPr>
        <w:spacing w:before="60" w:after="60"/>
        <w:jc w:val="both"/>
        <w:rPr>
          <w:rFonts w:ascii="Palatino Linotype" w:hAnsi="Palatino Linotype"/>
          <w:sz w:val="20"/>
          <w:szCs w:val="20"/>
        </w:rPr>
      </w:pPr>
      <w:r w:rsidRPr="00BD6586">
        <w:rPr>
          <w:rFonts w:ascii="Palatino Linotype" w:hAnsi="Palatino Linotype"/>
          <w:b/>
          <w:sz w:val="20"/>
          <w:szCs w:val="20"/>
        </w:rPr>
        <w:t>Výsledkem hodnocení kvality zdrojového kódu zakázky</w:t>
      </w:r>
      <w:r w:rsidRPr="00BD6586">
        <w:rPr>
          <w:rFonts w:ascii="Palatino Linotype" w:hAnsi="Palatino Linotype"/>
          <w:sz w:val="20"/>
          <w:szCs w:val="20"/>
        </w:rPr>
        <w:t xml:space="preserve">, dle hodnocení každé jednotlivé vlastnosti zdrojového kódu v rámci hodnotících </w:t>
      </w:r>
      <w:proofErr w:type="spellStart"/>
      <w:r w:rsidRPr="00BD6586">
        <w:rPr>
          <w:rFonts w:ascii="Palatino Linotype" w:hAnsi="Palatino Linotype"/>
          <w:sz w:val="20"/>
          <w:szCs w:val="20"/>
        </w:rPr>
        <w:t>subkritérií</w:t>
      </w:r>
      <w:proofErr w:type="spellEnd"/>
      <w:r w:rsidRPr="00BD6586">
        <w:rPr>
          <w:rFonts w:ascii="Palatino Linotype" w:hAnsi="Palatino Linotype"/>
          <w:sz w:val="20"/>
          <w:szCs w:val="20"/>
        </w:rPr>
        <w:t xml:space="preserve">, bude </w:t>
      </w:r>
      <w:r w:rsidRPr="00BD6586">
        <w:rPr>
          <w:rFonts w:ascii="Palatino Linotype" w:hAnsi="Palatino Linotype"/>
          <w:b/>
          <w:sz w:val="20"/>
          <w:szCs w:val="20"/>
          <w:u w:val="single"/>
        </w:rPr>
        <w:t>součet</w:t>
      </w:r>
      <w:r w:rsidRPr="00BD6586">
        <w:rPr>
          <w:rFonts w:ascii="Palatino Linotype" w:hAnsi="Palatino Linotype"/>
          <w:sz w:val="20"/>
          <w:szCs w:val="20"/>
        </w:rPr>
        <w:t xml:space="preserve"> obdržených bodů v podobě </w:t>
      </w:r>
      <w:r w:rsidRPr="00BD6586">
        <w:rPr>
          <w:rFonts w:ascii="Palatino Linotype" w:hAnsi="Palatino Linotype"/>
          <w:b/>
          <w:sz w:val="20"/>
          <w:szCs w:val="20"/>
          <w:u w:val="single"/>
        </w:rPr>
        <w:t xml:space="preserve">Váženého počtu bodů za kvalitu zdrojového kódu </w:t>
      </w:r>
      <w:r w:rsidRPr="00BD6586" w:rsidR="00D4569F">
        <w:rPr>
          <w:rFonts w:ascii="Palatino Linotype" w:hAnsi="Palatino Linotype"/>
          <w:b/>
          <w:sz w:val="20"/>
          <w:szCs w:val="20"/>
          <w:u w:val="single"/>
        </w:rPr>
        <w:t xml:space="preserve">vybrané </w:t>
      </w:r>
      <w:r w:rsidRPr="00BD6586">
        <w:rPr>
          <w:rFonts w:ascii="Palatino Linotype" w:hAnsi="Palatino Linotype"/>
          <w:b/>
          <w:sz w:val="20"/>
          <w:szCs w:val="20"/>
          <w:u w:val="single"/>
        </w:rPr>
        <w:t>zakázky</w:t>
      </w:r>
      <w:r w:rsidRPr="00BD6586">
        <w:rPr>
          <w:rFonts w:ascii="Palatino Linotype" w:hAnsi="Palatino Linotype"/>
          <w:sz w:val="20"/>
          <w:szCs w:val="20"/>
        </w:rPr>
        <w:t xml:space="preserve">, kdy maximální možný počet bodů, kterých může dodavatel dosáhnout, je </w:t>
      </w:r>
      <w:r w:rsidRPr="00BD6586" w:rsidR="002E003B">
        <w:rPr>
          <w:rFonts w:ascii="Palatino Linotype" w:hAnsi="Palatino Linotype"/>
          <w:b/>
          <w:sz w:val="20"/>
          <w:szCs w:val="20"/>
          <w:u w:val="single"/>
        </w:rPr>
        <w:t>28</w:t>
      </w:r>
      <w:r w:rsidRPr="00BD6586">
        <w:rPr>
          <w:rFonts w:ascii="Palatino Linotype" w:hAnsi="Palatino Linotype"/>
          <w:b/>
          <w:sz w:val="20"/>
          <w:szCs w:val="20"/>
          <w:u w:val="single"/>
        </w:rPr>
        <w:t xml:space="preserve"> bodů</w:t>
      </w:r>
      <w:r w:rsidRPr="00BD6586">
        <w:rPr>
          <w:rFonts w:ascii="Palatino Linotype" w:hAnsi="Palatino Linotype"/>
          <w:sz w:val="20"/>
          <w:szCs w:val="20"/>
        </w:rPr>
        <w:t>.</w:t>
      </w:r>
    </w:p>
    <w:p w:rsidR="003D047E" w:rsidP="003D047E" w:rsidRDefault="003D047E" w14:paraId="3AE60305" w14:textId="041B51C0">
      <w:pPr>
        <w:spacing w:before="60" w:after="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</w:t>
      </w:r>
      <w:r w:rsidRPr="003D047E">
        <w:rPr>
          <w:rFonts w:ascii="Palatino Linotype" w:hAnsi="Palatino Linotype"/>
          <w:sz w:val="20"/>
          <w:szCs w:val="20"/>
        </w:rPr>
        <w:t xml:space="preserve">davatel upozorňuje, že </w:t>
      </w:r>
      <w:r>
        <w:rPr>
          <w:rFonts w:ascii="Palatino Linotype" w:hAnsi="Palatino Linotype"/>
          <w:sz w:val="20"/>
          <w:szCs w:val="20"/>
        </w:rPr>
        <w:t>posouzení a hodnocení kvality zdrojového kódu zakázky</w:t>
      </w:r>
      <w:r w:rsidRPr="003D047E">
        <w:rPr>
          <w:rFonts w:ascii="Palatino Linotype" w:hAnsi="Palatino Linotype"/>
          <w:sz w:val="20"/>
          <w:szCs w:val="20"/>
        </w:rPr>
        <w:t xml:space="preserve"> je předmětem hodnocení v rámci </w:t>
      </w:r>
      <w:r>
        <w:rPr>
          <w:rFonts w:ascii="Palatino Linotype" w:hAnsi="Palatino Linotype"/>
          <w:b/>
          <w:i/>
          <w:sz w:val="20"/>
          <w:szCs w:val="20"/>
        </w:rPr>
        <w:t>hodnotícího kritéria č. 2</w:t>
      </w:r>
      <w:r w:rsidRPr="003D047E">
        <w:rPr>
          <w:rFonts w:ascii="Palatino Linotype" w:hAnsi="Palatino Linotype"/>
          <w:b/>
          <w:i/>
          <w:sz w:val="20"/>
          <w:szCs w:val="20"/>
        </w:rPr>
        <w:t xml:space="preserve"> - Kvalita zdrojového kódu zakázky (s vahou </w:t>
      </w:r>
      <w:r w:rsidR="00D4569F">
        <w:rPr>
          <w:rFonts w:ascii="Palatino Linotype" w:hAnsi="Palatino Linotype"/>
          <w:b/>
          <w:i/>
          <w:sz w:val="20"/>
          <w:szCs w:val="20"/>
        </w:rPr>
        <w:t>25</w:t>
      </w:r>
      <w:r w:rsidRPr="003D047E">
        <w:rPr>
          <w:rFonts w:ascii="Palatino Linotype" w:hAnsi="Palatino Linotype"/>
          <w:b/>
          <w:i/>
          <w:sz w:val="20"/>
          <w:szCs w:val="20"/>
        </w:rPr>
        <w:t>%)</w:t>
      </w:r>
      <w:r w:rsidRPr="003D047E">
        <w:rPr>
          <w:rFonts w:ascii="Palatino Linotype" w:hAnsi="Palatino Linotype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91"/>
        <w:gridCol w:w="1382"/>
        <w:gridCol w:w="2488"/>
        <w:gridCol w:w="1328"/>
        <w:gridCol w:w="2666"/>
        <w:gridCol w:w="1263"/>
      </w:tblGrid>
      <w:tr w:rsidRPr="00F272FF" w:rsidR="00F272FF" w:rsidTr="002B7881" w14:paraId="09E994FA" w14:textId="77777777">
        <w:trPr>
          <w:trHeight w:val="284"/>
          <w:jc w:val="center"/>
        </w:trPr>
        <w:tc>
          <w:tcPr>
            <w:tcW w:w="9618" w:type="dxa"/>
            <w:gridSpan w:val="6"/>
            <w:tcBorders>
              <w:bottom w:val="single" w:color="auto" w:sz="8" w:space="0"/>
            </w:tcBorders>
            <w:shd w:val="pct15" w:color="auto" w:fill="auto"/>
          </w:tcPr>
          <w:p w:rsidRPr="00F272FF" w:rsidR="00524395" w:rsidP="00524395" w:rsidRDefault="00524395" w14:paraId="6F54A1CE" w14:textId="77777777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ZPŮSOB HODNOCENÍ</w:t>
            </w:r>
          </w:p>
          <w:p w:rsidRPr="00F272FF" w:rsidR="0023433B" w:rsidP="00524395" w:rsidRDefault="00524395" w14:paraId="713E9BBD" w14:textId="12336610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KVALITY ZDROJOVÉHO KODU ZAKÁZKY</w:t>
            </w:r>
          </w:p>
        </w:tc>
      </w:tr>
      <w:tr w:rsidRPr="00F272FF" w:rsidR="002E003B" w:rsidTr="002E003B" w14:paraId="416D8F2B" w14:textId="77777777">
        <w:trPr>
          <w:trHeight w:val="284"/>
          <w:jc w:val="center"/>
        </w:trPr>
        <w:tc>
          <w:tcPr>
            <w:tcW w:w="491" w:type="dxa"/>
            <w:shd w:val="pct15" w:color="auto" w:fill="auto"/>
          </w:tcPr>
          <w:p w:rsidRPr="00F272FF" w:rsidR="0023433B" w:rsidP="002E741B" w:rsidRDefault="0023433B" w14:paraId="61050346" w14:textId="7777777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t>Pol. č.:</w:t>
            </w:r>
          </w:p>
        </w:tc>
        <w:tc>
          <w:tcPr>
            <w:tcW w:w="1382" w:type="dxa"/>
            <w:shd w:val="pct15" w:color="auto" w:fill="auto"/>
          </w:tcPr>
          <w:p w:rsidRPr="00F272FF" w:rsidR="0023433B" w:rsidP="00524395" w:rsidRDefault="0023433B" w14:paraId="185B8713" w14:textId="25F32C6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t>Název hodnocené</w:t>
            </w:r>
            <w:r w:rsidRPr="00F272FF" w:rsidR="0052439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ho </w:t>
            </w:r>
            <w:proofErr w:type="spellStart"/>
            <w:r w:rsidRPr="00F272FF" w:rsidR="00524395">
              <w:rPr>
                <w:rFonts w:ascii="Palatino Linotype" w:hAnsi="Palatino Linotype"/>
                <w:b/>
                <w:bCs/>
                <w:sz w:val="20"/>
                <w:szCs w:val="20"/>
              </w:rPr>
              <w:t>subkritéria</w:t>
            </w:r>
            <w:proofErr w:type="spellEnd"/>
            <w:r w:rsidRPr="00F272FF" w:rsidR="0052439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 rámci hodnocení kvality </w:t>
            </w: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zdrojového kódu</w:t>
            </w:r>
          </w:p>
        </w:tc>
        <w:tc>
          <w:tcPr>
            <w:tcW w:w="2488" w:type="dxa"/>
            <w:shd w:val="pct15" w:color="auto" w:fill="auto"/>
          </w:tcPr>
          <w:p w:rsidRPr="00F272FF" w:rsidR="0023433B" w:rsidP="002E741B" w:rsidRDefault="0023433B" w14:paraId="0A5993EF" w14:textId="399CBB16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lastRenderedPageBreak/>
              <w:t xml:space="preserve">Stručný popis </w:t>
            </w:r>
            <w:proofErr w:type="spellStart"/>
            <w:r w:rsidRPr="00F272FF" w:rsidR="00524395">
              <w:rPr>
                <w:rFonts w:ascii="Palatino Linotype" w:hAnsi="Palatino Linotype"/>
                <w:b/>
                <w:bCs/>
                <w:sz w:val="20"/>
                <w:szCs w:val="20"/>
              </w:rPr>
              <w:t>subkritéria</w:t>
            </w:r>
            <w:proofErr w:type="spellEnd"/>
            <w:r w:rsidRPr="00F272FF" w:rsidR="0052439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 rámci hodnocení kvality zdrojového kódu</w:t>
            </w:r>
          </w:p>
        </w:tc>
        <w:tc>
          <w:tcPr>
            <w:tcW w:w="3994" w:type="dxa"/>
            <w:gridSpan w:val="2"/>
            <w:shd w:val="pct15" w:color="auto" w:fill="auto"/>
          </w:tcPr>
          <w:p w:rsidRPr="00F272FF" w:rsidR="0023433B" w:rsidP="00524395" w:rsidRDefault="00524395" w14:paraId="298CFBDC" w14:textId="273CFD20">
            <w:pPr>
              <w:ind w:left="-57" w:right="-57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t>Hodnocená vlastnosti zdrojového kódu</w:t>
            </w:r>
          </w:p>
        </w:tc>
        <w:tc>
          <w:tcPr>
            <w:tcW w:w="1263" w:type="dxa"/>
            <w:shd w:val="pct15" w:color="auto" w:fill="auto"/>
          </w:tcPr>
          <w:p w:rsidRPr="00F272FF" w:rsidR="00524395" w:rsidP="002E741B" w:rsidRDefault="00524395" w14:paraId="55B87D85" w14:textId="77777777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Bodové ohodnocení</w:t>
            </w:r>
          </w:p>
          <w:p w:rsidRPr="00F272FF" w:rsidR="0023433B" w:rsidP="002E741B" w:rsidRDefault="00524395" w14:paraId="20A6FE11" w14:textId="43852AED">
            <w:pPr>
              <w:jc w:val="center"/>
              <w:rPr>
                <w:rFonts w:ascii="Palatino Linotype" w:hAnsi="Palatino Linotype" w:cs="Calibri"/>
                <w:b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t>vlastnost</w:t>
            </w:r>
            <w:r w:rsidRPr="00F272FF" w:rsidR="00D4569F">
              <w:rPr>
                <w:rFonts w:ascii="Palatino Linotype" w:hAnsi="Palatino Linotype"/>
                <w:b/>
                <w:bCs/>
                <w:sz w:val="20"/>
                <w:szCs w:val="20"/>
              </w:rPr>
              <w:t>í</w:t>
            </w:r>
            <w:r w:rsidRPr="00F272F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zdrojového kódu</w:t>
            </w: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</w:p>
        </w:tc>
      </w:tr>
      <w:tr w:rsidRPr="00F272FF" w:rsidR="002E003B" w:rsidTr="002E003B" w14:paraId="1F2B192C" w14:textId="77777777">
        <w:trPr>
          <w:trHeight w:val="284"/>
          <w:jc w:val="center"/>
        </w:trPr>
        <w:tc>
          <w:tcPr>
            <w:tcW w:w="491" w:type="dxa"/>
            <w:vMerge w:val="restart"/>
            <w:shd w:val="clear" w:color="auto" w:fill="auto"/>
            <w:hideMark/>
          </w:tcPr>
          <w:p w:rsidRPr="00F272FF" w:rsidR="004C3FAE" w:rsidP="002E741B" w:rsidRDefault="004C3FAE" w14:paraId="231A38E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1.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4C3FAE" w:rsidP="002E741B" w:rsidRDefault="004C3FAE" w14:paraId="4006501C" w14:textId="1EDA995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Názvy proměnných, funkcí, tříd</w:t>
            </w:r>
          </w:p>
        </w:tc>
        <w:tc>
          <w:tcPr>
            <w:tcW w:w="2488" w:type="dxa"/>
            <w:vMerge w:val="restart"/>
          </w:tcPr>
          <w:p w:rsidRPr="00BD6586" w:rsidR="004C3FAE" w:rsidP="002E741B" w:rsidRDefault="004C3FAE" w14:paraId="64AADBA0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i/>
                <w:sz w:val="20"/>
                <w:szCs w:val="20"/>
              </w:rPr>
              <w:t xml:space="preserve">Názvy proměnných by měly být určeny podle toho, jakou informaci v sobě nesou. </w:t>
            </w:r>
          </w:p>
          <w:p w:rsidRPr="00BD6586" w:rsidR="004C3FAE" w:rsidP="002E741B" w:rsidRDefault="004C3FAE" w14:paraId="068D77CC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i/>
                <w:sz w:val="20"/>
                <w:szCs w:val="20"/>
              </w:rPr>
              <w:t xml:space="preserve">Názvy funkcí naopak podle toho, co funkce provádí. </w:t>
            </w:r>
          </w:p>
          <w:p w:rsidRPr="00BD6586" w:rsidR="004C3FAE" w:rsidP="00524395" w:rsidRDefault="004C3FAE" w14:paraId="4D3C199D" w14:textId="2CC44986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i/>
                <w:sz w:val="20"/>
                <w:szCs w:val="20"/>
              </w:rPr>
              <w:t>Není vhodné používat zbytečně dlouhé názvy, a také se vyhnout používání jednopísmenných a nicneříkajících názvů.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Pr="00BD6586" w:rsidR="004C3FAE" w:rsidP="00DE545C" w:rsidRDefault="004C3FAE" w14:paraId="5EEE9368" w14:textId="714018DB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  <w:t>Jazyk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BD6586" w:rsidR="004C3FAE" w:rsidP="000A3CF3" w:rsidRDefault="004C3FAE" w14:paraId="15AF74E7" w14:textId="5C642887">
            <w:pPr>
              <w:pStyle w:val="Odstavecseseznamem"/>
              <w:numPr>
                <w:ilvl w:val="0"/>
                <w:numId w:val="24"/>
              </w:numPr>
              <w:ind w:left="170" w:right="-57" w:hanging="170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skládání z angličtiny</w:t>
            </w:r>
            <w:r w:rsidRPr="00BD6586" w:rsidR="00AD6875">
              <w:rPr>
                <w:rStyle w:val="Znakapoznpodarou"/>
                <w:rFonts w:ascii="Palatino Linotype" w:hAnsi="Palatino Linotype"/>
                <w:b/>
                <w:i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2E741B" w:rsidRDefault="004C3FAE" w14:paraId="072485BB" w14:textId="559F88FF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2 bodů</w:t>
            </w:r>
          </w:p>
        </w:tc>
      </w:tr>
      <w:tr w:rsidRPr="00F272FF" w:rsidR="002E003B" w:rsidTr="002E003B" w14:paraId="31E5B422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2E741B" w:rsidRDefault="004C3FAE" w14:paraId="01C00C3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2E741B" w:rsidRDefault="004C3FAE" w14:paraId="3FA27220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2E741B" w:rsidRDefault="004C3FAE" w14:paraId="56011A08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BD6586" w:rsidR="004C3FAE" w:rsidP="00DE545C" w:rsidRDefault="004C3FAE" w14:paraId="03507EAD" w14:textId="77777777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BD6586" w:rsidR="004C3FAE" w:rsidP="000A3CF3" w:rsidRDefault="004C3FAE" w14:paraId="42185730" w14:textId="21B98187">
            <w:pPr>
              <w:pStyle w:val="Odstavecseseznamem"/>
              <w:numPr>
                <w:ilvl w:val="0"/>
                <w:numId w:val="24"/>
              </w:numPr>
              <w:ind w:left="170" w:right="-57" w:hanging="170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jiný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2E741B" w:rsidRDefault="004C3FAE" w14:paraId="3AD5A9F3" w14:textId="00541D6F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3EF446BC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2E741B" w:rsidRDefault="004C3FAE" w14:paraId="47D94FA1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2E741B" w:rsidRDefault="004C3FAE" w14:paraId="76D0A4B5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2E741B" w:rsidRDefault="004C3FAE" w14:paraId="3D4BB00F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Pr="00BD6586" w:rsidR="004C3FAE" w:rsidP="00DE545C" w:rsidRDefault="004C3FAE" w14:paraId="49D9B9EB" w14:textId="244AD1B9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/>
                <w:b/>
                <w:sz w:val="20"/>
                <w:szCs w:val="20"/>
              </w:rPr>
              <w:t xml:space="preserve">Způsob skládání slov 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BD6586" w:rsidR="004C3FAE" w:rsidP="000A3CF3" w:rsidRDefault="004C3FAE" w14:paraId="1BAE167A" w14:textId="1C65475A">
            <w:pPr>
              <w:pStyle w:val="Odstavecseseznamem"/>
              <w:numPr>
                <w:ilvl w:val="0"/>
                <w:numId w:val="23"/>
              </w:numPr>
              <w:ind w:left="170" w:right="-57" w:hanging="170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proofErr w:type="spellStart"/>
            <w:r w:rsidRPr="00BD6586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camelCase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DE545C" w:rsidRDefault="004C3FAE" w14:paraId="00A116CC" w14:textId="0EA98479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2 bodů</w:t>
            </w:r>
          </w:p>
        </w:tc>
      </w:tr>
      <w:tr w:rsidRPr="00F272FF" w:rsidR="002E003B" w:rsidTr="002E003B" w14:paraId="32EFE431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2E741B" w:rsidRDefault="004C3FAE" w14:paraId="1F67F7F5" w14:textId="7739530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2E741B" w:rsidRDefault="004C3FAE" w14:paraId="72A029D3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2E741B" w:rsidRDefault="004C3FAE" w14:paraId="057169DC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BD6586" w:rsidR="004C3FAE" w:rsidP="00DE545C" w:rsidRDefault="004C3FAE" w14:paraId="6AF6C71B" w14:textId="77777777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BD6586" w:rsidR="004C3FAE" w:rsidP="000A3CF3" w:rsidRDefault="00486EEC" w14:paraId="18413AC4" w14:textId="60EC865B">
            <w:pPr>
              <w:pStyle w:val="Odstavecseseznamem"/>
              <w:numPr>
                <w:ilvl w:val="0"/>
                <w:numId w:val="23"/>
              </w:numPr>
              <w:ind w:left="170" w:right="-57" w:hanging="170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proofErr w:type="spellStart"/>
            <w:r w:rsidRPr="00BD6586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</w:t>
            </w:r>
            <w:r w:rsidRPr="00BD6586" w:rsidR="004C3FAE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ascalCase</w:t>
            </w:r>
            <w:proofErr w:type="spellEnd"/>
            <w:r w:rsidRPr="00BD6586" w:rsidR="004C3FAE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BD6586" w:rsidR="004C3FAE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snake_case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2E741B" w:rsidRDefault="004C3FAE" w14:paraId="197830AC" w14:textId="2529F5DC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1 bod</w:t>
            </w:r>
          </w:p>
        </w:tc>
      </w:tr>
      <w:tr w:rsidRPr="00F272FF" w:rsidR="002E003B" w:rsidTr="002E003B" w14:paraId="5E1A4581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2E741B" w:rsidRDefault="004C3FAE" w14:paraId="3811FDF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2E741B" w:rsidRDefault="004C3FAE" w14:paraId="254A0371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2E741B" w:rsidRDefault="004C3FAE" w14:paraId="2372DDCB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BD6586" w:rsidR="004C3FAE" w:rsidP="00DE545C" w:rsidRDefault="004C3FAE" w14:paraId="08B38320" w14:textId="77777777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BD6586" w:rsidR="004C3FAE" w:rsidP="000A3CF3" w:rsidRDefault="004C3FAE" w14:paraId="69BA15F3" w14:textId="5547BDC6">
            <w:pPr>
              <w:pStyle w:val="Odstavecseseznamem"/>
              <w:numPr>
                <w:ilvl w:val="0"/>
                <w:numId w:val="23"/>
              </w:numPr>
              <w:ind w:left="170" w:right="-57" w:hanging="170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jiný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2E741B" w:rsidRDefault="004C3FAE" w14:paraId="22E8F561" w14:textId="2B48B81F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150DBFD7" w14:textId="77777777">
        <w:trPr>
          <w:trHeight w:val="485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4C3FAE" w:rsidRDefault="004C3FAE" w14:paraId="3C4A5DBC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4C3FAE" w:rsidRDefault="004C3FAE" w14:paraId="0BFAC686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4C3FAE" w:rsidRDefault="004C3FAE" w14:paraId="2E9EB243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Pr="00BD6586" w:rsidR="004C3FAE" w:rsidP="004C3FAE" w:rsidRDefault="004C3FAE" w14:paraId="5C07A8A4" w14:textId="0563578B">
            <w:pPr>
              <w:ind w:left="-57" w:right="-57"/>
              <w:rPr>
                <w:rFonts w:ascii="Palatino Linotype" w:hAnsi="Palatino Linotype" w:cs="Calibri"/>
                <w:b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/>
                <w:b/>
                <w:sz w:val="20"/>
                <w:szCs w:val="20"/>
              </w:rPr>
              <w:t>Vhodné pojmenování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</w:rPr>
              <w:t xml:space="preserve"> (tj. aby většina případů byla pojmenována</w:t>
            </w:r>
            <w:r w:rsidRPr="00BD6586" w:rsidR="0007609A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 </w:t>
            </w:r>
            <w:r w:rsidRPr="00BD6586" w:rsidR="002E003B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vhodnými </w:t>
            </w:r>
            <w:r w:rsidRPr="00BD6586" w:rsidR="0007609A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tematickými slovy</w:t>
            </w:r>
            <w:r w:rsidRPr="00BD6586" w:rsidR="0007609A">
              <w:rPr>
                <w:rFonts w:ascii="Palatino Linotype" w:hAnsi="Palatino Linotype"/>
                <w:b/>
                <w:sz w:val="20"/>
                <w:szCs w:val="20"/>
              </w:rPr>
              <w:t xml:space="preserve"> o </w:t>
            </w:r>
            <w:r w:rsidRPr="00BD6586" w:rsidR="002E003B">
              <w:rPr>
                <w:rFonts w:ascii="Palatino Linotype" w:hAnsi="Palatino Linotype"/>
                <w:b/>
                <w:sz w:val="20"/>
                <w:szCs w:val="20"/>
              </w:rPr>
              <w:t>délce maximálně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dv</w:t>
            </w:r>
            <w:r w:rsidRPr="00BD6586" w:rsidR="002E003B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ou 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výstižný</w:t>
            </w:r>
            <w:r w:rsidRPr="00BD6586" w:rsidR="002E003B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ch 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slov bez spojek</w:t>
            </w:r>
            <w:r w:rsidRPr="00BD6586" w:rsidR="00EA59E6"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Pr="00BD6586" w:rsidR="004C3FAE" w:rsidP="004C3FAE" w:rsidRDefault="002E003B" w14:paraId="192974EE" w14:textId="6EE659C0">
            <w:pPr>
              <w:pStyle w:val="Odstavecseseznamem"/>
              <w:numPr>
                <w:ilvl w:val="0"/>
                <w:numId w:val="36"/>
              </w:numPr>
              <w:ind w:left="135" w:right="-57" w:hanging="135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vhodné pojmenování, </w:t>
            </w:r>
            <w:r w:rsidRPr="00BD6586" w:rsidR="004C3FAE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vhodná délka</w:t>
            </w:r>
            <w:r w:rsidRPr="00BD6586" w:rsidR="0007609A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, tematické</w:t>
            </w:r>
            <w:r w:rsidRPr="00BD6586" w:rsidR="004C3FAE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pojmenování</w:t>
            </w:r>
            <w:r w:rsidRPr="00BD6586" w:rsidR="0007609A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slovy</w:t>
            </w:r>
            <w:r w:rsidRPr="00BD6586" w:rsidR="004C3FAE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, konvence dle důležitosti slov při skládání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4C3FAE" w:rsidRDefault="004C3FAE" w14:paraId="667797F7" w14:textId="602454A4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2 bodů</w:t>
            </w:r>
          </w:p>
        </w:tc>
      </w:tr>
      <w:tr w:rsidRPr="00F272FF" w:rsidR="002E003B" w:rsidTr="002E003B" w14:paraId="0056E98A" w14:textId="77777777">
        <w:trPr>
          <w:trHeight w:val="485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4C3FAE" w:rsidRDefault="004C3FAE" w14:paraId="305AC26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4C3FAE" w:rsidRDefault="004C3FAE" w14:paraId="24E1470F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4C3FAE" w:rsidRDefault="004C3FAE" w14:paraId="716FC929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BD6586" w:rsidR="004C3FAE" w:rsidP="004C3FAE" w:rsidRDefault="004C3FAE" w14:paraId="68852B5E" w14:textId="77777777">
            <w:pPr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BD6586" w:rsidR="004C3FAE" w:rsidP="004C3FAE" w:rsidRDefault="004C3FAE" w14:paraId="57DDB08E" w14:textId="5C92908B">
            <w:pPr>
              <w:pStyle w:val="Odstavecseseznamem"/>
              <w:numPr>
                <w:ilvl w:val="0"/>
                <w:numId w:val="36"/>
              </w:numPr>
              <w:ind w:left="135" w:right="-57" w:hanging="135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vhodné pojmenování, nevhodná/nesmyslná délka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4C3FAE" w:rsidRDefault="004C3FAE" w14:paraId="6ECB17A4" w14:textId="55C9C57F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1 bod</w:t>
            </w:r>
          </w:p>
        </w:tc>
      </w:tr>
      <w:tr w:rsidRPr="00F272FF" w:rsidR="002E003B" w:rsidTr="002E003B" w14:paraId="6ABB4DFA" w14:textId="77777777">
        <w:trPr>
          <w:trHeight w:val="485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4C3FAE" w:rsidP="004C3FAE" w:rsidRDefault="004C3FAE" w14:paraId="214A0975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4C3FAE" w:rsidP="004C3FAE" w:rsidRDefault="004C3FAE" w14:paraId="30599B6F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BD6586" w:rsidR="004C3FAE" w:rsidP="004C3FAE" w:rsidRDefault="004C3FAE" w14:paraId="78ACAF96" w14:textId="77777777">
            <w:pPr>
              <w:jc w:val="both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BD6586" w:rsidR="004C3FAE" w:rsidP="004C3FAE" w:rsidRDefault="004C3FAE" w14:paraId="13D90B86" w14:textId="77777777">
            <w:pPr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BD6586" w:rsidR="004C3FAE" w:rsidP="004C3FAE" w:rsidRDefault="004C3FAE" w14:paraId="089BDB3D" w14:textId="1A17B64F">
            <w:pPr>
              <w:pStyle w:val="Odstavecseseznamem"/>
              <w:numPr>
                <w:ilvl w:val="0"/>
                <w:numId w:val="36"/>
              </w:numPr>
              <w:ind w:left="135" w:right="-57" w:hanging="135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nevhodná</w:t>
            </w:r>
            <w:r w:rsidRPr="00BD6586" w:rsid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/</w:t>
            </w:r>
            <w:r w:rsidRPr="00BD6586" w:rsid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nesmyslná délka, nevhodné</w:t>
            </w:r>
            <w:r w:rsidRPr="00BD6586" w:rsid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/</w:t>
            </w:r>
            <w:r w:rsidRPr="00BD6586" w:rsid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D6586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nesmyslné pojmenování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4C3FAE" w:rsidP="004C3FAE" w:rsidRDefault="004C3FAE" w14:paraId="5E36788B" w14:textId="0466F9C4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793E80DE" w14:textId="77777777">
        <w:trPr>
          <w:trHeight w:val="740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53717657" w14:textId="3CC9EB7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2.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42D5BAC7" w14:textId="74C3BCE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>Logika funkcí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570DC91D" w14:textId="00999E26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i/>
                <w:sz w:val="20"/>
                <w:szCs w:val="20"/>
              </w:rPr>
              <w:t>Posouzení zda funkce naplňují z hlediska obsahu požadovanou funkcionalitu a nedělají věci navíc. Kontrola délky funkcí.  Očekává se, že funkce by měla dělat jen jednu věc a dělat ji řádně.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Pr="00F272FF" w:rsidR="00F272FF" w:rsidP="00F272FF" w:rsidRDefault="00F272FF" w14:paraId="7D8510AA" w14:textId="3B337844">
            <w:pPr>
              <w:ind w:left="-57" w:right="-57"/>
              <w:rPr>
                <w:rFonts w:ascii="Palatino Linotype" w:hAnsi="Palatino Linotype" w:cs="Calibri"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Obsah, stručnost a výstižnost funkcí</w:t>
            </w: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46E930C8" w14:textId="3E9C26FE">
            <w:pPr>
              <w:pStyle w:val="Odstavecseseznamem"/>
              <w:numPr>
                <w:ilvl w:val="0"/>
                <w:numId w:val="37"/>
              </w:numPr>
              <w:ind w:left="135" w:right="-57" w:hanging="135"/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  <w:t>kód je čitelný a neobsahuje žádné obtížně pochopitelné funkce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B013AED" w14:textId="1CA083D5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2 bodů</w:t>
            </w:r>
          </w:p>
        </w:tc>
      </w:tr>
      <w:tr w:rsidRPr="00F272FF" w:rsidR="002E003B" w:rsidTr="002E003B" w14:paraId="78995EAE" w14:textId="77777777">
        <w:trPr>
          <w:trHeight w:val="766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08ED2920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0D4F6A06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3AA320E7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1F3204A7" w14:textId="77777777">
            <w:pPr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5CE94020" w14:textId="4693A2AB">
            <w:pPr>
              <w:pStyle w:val="Odstavecseseznamem"/>
              <w:numPr>
                <w:ilvl w:val="0"/>
                <w:numId w:val="37"/>
              </w:numPr>
              <w:ind w:left="135" w:right="-57" w:hanging="135"/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  <w:t>kód je čitelný, až na výjimky neobsahuje dlouhé nesrozumitelné funkce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B4DF412" w14:textId="54682B32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1 bod</w:t>
            </w:r>
          </w:p>
        </w:tc>
      </w:tr>
      <w:tr w:rsidRPr="00F272FF" w:rsidR="002E003B" w:rsidTr="002E003B" w14:paraId="354749A5" w14:textId="77777777">
        <w:trPr>
          <w:trHeight w:val="1235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ED23B10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5230A669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2F6CDC91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7E567905" w14:textId="77777777">
            <w:pPr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566DA68E" w14:textId="3EEA7D33">
            <w:pPr>
              <w:pStyle w:val="Odstavecseseznamem"/>
              <w:numPr>
                <w:ilvl w:val="0"/>
                <w:numId w:val="37"/>
              </w:numPr>
              <w:ind w:left="135" w:right="-57" w:hanging="135"/>
              <w:rPr>
                <w:rFonts w:ascii="Palatino Linotype" w:hAnsi="Palatino Linotype" w:cs="Calibri"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  <w:t xml:space="preserve">tzv. „spaghetti </w:t>
            </w:r>
            <w:proofErr w:type="spellStart"/>
            <w:r w:rsidRPr="00F272FF"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  <w:t>code</w:t>
            </w:r>
            <w:proofErr w:type="spellEnd"/>
            <w:r w:rsidRPr="00F272FF">
              <w:rPr>
                <w:rFonts w:ascii="Palatino Linotype" w:hAnsi="Palatino Linotype" w:cs="Calibri"/>
                <w:b/>
                <w:bCs/>
                <w:i/>
                <w:iCs/>
                <w:spacing w:val="-4"/>
                <w:sz w:val="20"/>
                <w:szCs w:val="20"/>
              </w:rPr>
              <w:t>“, tj.  nevhodná struktura zdrojového kódu, která způsobuje jeho nesrozumitelnost a obtížnou udržovatelnost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79B8B99" w14:textId="555AB8C7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068FCF05" w14:textId="77777777">
        <w:trPr>
          <w:trHeight w:val="309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6DE2BEB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3.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2EBAFB8C" w14:textId="5722366E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>Objektově orientovaný přístup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7CEAFCFD" w14:textId="6F82DF58">
            <w:pPr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</w:rPr>
              <w:t>Kód vychází z objektového popisu řešeného problému, který je abstrakcí skutečného problému.  Návrh poskytuje vhodnou strukturu pro řešení tohoto problému.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18ACC046" w14:textId="1C320A5E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Konceptuální normalizace </w:t>
            </w:r>
          </w:p>
          <w:p w:rsidRPr="00F272FF" w:rsidR="00F272FF" w:rsidP="00F272FF" w:rsidRDefault="00F272FF" w14:paraId="4B535428" w14:textId="7C2D3F15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  <w:highlight w:val="red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5DF87882" w14:textId="144D10DB">
            <w:pPr>
              <w:pStyle w:val="Odstavecseseznamem"/>
              <w:numPr>
                <w:ilvl w:val="0"/>
                <w:numId w:val="34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každý objekt má své jasné určení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20340425" w14:textId="03EFADA7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295D57CC" w14:textId="77777777">
        <w:trPr>
          <w:trHeight w:val="870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1E59B1C5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7205A44F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5D7D716B" w14:textId="77777777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3075067D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1486C37A" w14:textId="03D792BA">
            <w:pPr>
              <w:pStyle w:val="Odstavecseseznamem"/>
              <w:numPr>
                <w:ilvl w:val="0"/>
                <w:numId w:val="34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většina objektů má své jasné určení, ale vyskytují se i objekty bez jasného určení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1105DF89" w14:textId="1CE59FBC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446EBF17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7CFDFC7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36CAFC0E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24348020" w14:textId="77777777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0D2419B4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3CFACC35" w14:textId="08ACE7D2">
            <w:pPr>
              <w:pStyle w:val="Odstavecseseznamem"/>
              <w:numPr>
                <w:ilvl w:val="1"/>
                <w:numId w:val="34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žádný objekt nemá své jasné určení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C78E178" w14:textId="302DAE63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20A3875F" w14:textId="77777777">
        <w:trPr>
          <w:trHeight w:val="393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75B9DA3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75F5F541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77CEA723" w14:textId="77777777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585C66EE" w14:textId="40A3FBDF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Využívání návrhových vzorů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4DEED28A" w14:textId="22C15F0A">
            <w:pPr>
              <w:pStyle w:val="Odstavecseseznamem"/>
              <w:numPr>
                <w:ilvl w:val="0"/>
                <w:numId w:val="33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ANO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5E0FD677" w14:textId="371CA7E8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27CE65BB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3ADBFF77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24E43AEB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62B5162C" w14:textId="77777777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582076CA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707A174B" w14:textId="6F67C039">
            <w:pPr>
              <w:pStyle w:val="Odstavecseseznamem"/>
              <w:numPr>
                <w:ilvl w:val="0"/>
                <w:numId w:val="33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NE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16DC9860" w14:textId="494B09B9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14B6EB1F" w14:textId="77777777">
        <w:trPr>
          <w:trHeight w:val="284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5605A28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4.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3139A363" w14:textId="542E548A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Struktura v návaznosti </w:t>
            </w: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na architekturu projektu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38845AB3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Vhodné vytvoření složek a souborů.</w:t>
            </w:r>
          </w:p>
          <w:p w:rsidRPr="00F272FF" w:rsidR="00F272FF" w:rsidP="00F272FF" w:rsidRDefault="00F272FF" w14:paraId="0B3DCE3B" w14:textId="32391EAB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1D8BA8F3" w14:textId="1CF8F247">
            <w:pPr>
              <w:ind w:left="-57" w:right="-57"/>
              <w:rPr>
                <w:rFonts w:ascii="Palatino Linotype" w:hAnsi="Palatino Linotype"/>
                <w:i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lastRenderedPageBreak/>
              <w:t xml:space="preserve">Využití správce </w:t>
            </w:r>
            <w:proofErr w:type="spellStart"/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lastRenderedPageBreak/>
              <w:t>artifaktů</w:t>
            </w:r>
            <w:proofErr w:type="spellEnd"/>
            <w:r w:rsidRPr="00F272FF">
              <w:rPr>
                <w:rFonts w:ascii="Palatino Linotype" w:hAnsi="Palatino Linotype"/>
                <w:spacing w:val="-4"/>
                <w:sz w:val="20"/>
                <w:szCs w:val="20"/>
              </w:rPr>
              <w:t xml:space="preserve"> </w:t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(např.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composer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yarn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npm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, apod.</w:t>
            </w:r>
            <w:r w:rsidRPr="00F272FF">
              <w:rPr>
                <w:rStyle w:val="Znakapoznpodarou"/>
                <w:rFonts w:ascii="Palatino Linotype" w:hAnsi="Palatino Linotype"/>
                <w:i/>
                <w:spacing w:val="-4"/>
                <w:sz w:val="20"/>
                <w:szCs w:val="20"/>
              </w:rPr>
              <w:footnoteReference w:id="2"/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5D1D68ED" w14:textId="02026E2A">
            <w:pPr>
              <w:pStyle w:val="Odstavecseseznamem"/>
              <w:numPr>
                <w:ilvl w:val="0"/>
                <w:numId w:val="25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lastRenderedPageBreak/>
              <w:t>použit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C4F2E7A" w14:textId="51F12B35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08276E4F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1AE4385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40535A58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58BDC6E5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038432BC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019B0D39" w14:textId="30D984E4">
            <w:pPr>
              <w:pStyle w:val="Odstavecseseznamem"/>
              <w:numPr>
                <w:ilvl w:val="0"/>
                <w:numId w:val="25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nepoužit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3456FCA7" w14:textId="09D57B61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649C66CD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33D6A6B3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4CC5E61C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5F19AC24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63070EC2" w14:textId="3A19077E">
            <w:pPr>
              <w:ind w:left="-57" w:right="-57"/>
              <w:rPr>
                <w:rFonts w:ascii="Palatino Linotype" w:hAnsi="Palatino Linotype"/>
                <w:i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Využití </w:t>
            </w:r>
            <w:proofErr w:type="spellStart"/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frameworku</w:t>
            </w:r>
            <w:proofErr w:type="spellEnd"/>
            <w:r w:rsidRPr="00F272FF">
              <w:rPr>
                <w:rFonts w:ascii="Palatino Linotype" w:hAnsi="Palatino Linotype"/>
                <w:spacing w:val="-4"/>
                <w:sz w:val="20"/>
                <w:szCs w:val="20"/>
              </w:rPr>
              <w:t xml:space="preserve"> </w:t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(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Symfony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Vue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React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, apod.</w:t>
            </w:r>
            <w:r w:rsidRPr="00F272FF">
              <w:rPr>
                <w:rStyle w:val="Znakapoznpodarou"/>
                <w:rFonts w:ascii="Palatino Linotype" w:hAnsi="Palatino Linotype"/>
                <w:i/>
                <w:spacing w:val="-4"/>
                <w:sz w:val="20"/>
                <w:szCs w:val="20"/>
              </w:rPr>
              <w:footnoteReference w:id="3"/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76EDD776" w14:textId="60B6C4D2">
            <w:pPr>
              <w:pStyle w:val="Odstavecseseznamem"/>
              <w:numPr>
                <w:ilvl w:val="0"/>
                <w:numId w:val="26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použit veřejně dostupný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1D6FC9C6" w14:textId="66FCDC94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24EE9E26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CAC5D5A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6B860D40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10B73C00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60858744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7DA32F8A" w14:textId="1F8C1FDF">
            <w:pPr>
              <w:pStyle w:val="Odstavecseseznamem"/>
              <w:numPr>
                <w:ilvl w:val="0"/>
                <w:numId w:val="26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vlastní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863BA4A" w14:textId="7EB5AAC9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2162CB60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7135D59E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395108FB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74D26550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4685AFFD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11BD558E" w14:textId="43CFA904">
            <w:pPr>
              <w:pStyle w:val="Odstavecseseznamem"/>
              <w:numPr>
                <w:ilvl w:val="0"/>
                <w:numId w:val="26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nepoužit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2787D77E" w14:textId="0AE67F3F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7D4D5B57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5F20B750" w14:textId="65E545C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05256709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06EE7820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382D609C" w14:textId="50BD1A0F">
            <w:pPr>
              <w:ind w:left="-57" w:right="-57"/>
              <w:rPr>
                <w:rFonts w:ascii="Palatino Linotype" w:hAnsi="Palatino Linotype"/>
                <w:i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Architektura projektu </w:t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(MVC, MVVC, apod.</w:t>
            </w:r>
            <w:r w:rsidRPr="00F272FF">
              <w:rPr>
                <w:rStyle w:val="Znakapoznpodarou"/>
                <w:rFonts w:ascii="Palatino Linotype" w:hAnsi="Palatino Linotype"/>
                <w:i/>
                <w:spacing w:val="-4"/>
                <w:sz w:val="20"/>
                <w:szCs w:val="20"/>
              </w:rPr>
              <w:footnoteReference w:id="4"/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)</w:t>
            </w:r>
          </w:p>
          <w:p w:rsidRPr="00F272FF" w:rsidR="00F272FF" w:rsidP="00F272FF" w:rsidRDefault="00F272FF" w14:paraId="0A8E65A9" w14:textId="5EF48340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05830B6A" w14:textId="0F727F47">
            <w:pPr>
              <w:pStyle w:val="Odstavecseseznamem"/>
              <w:numPr>
                <w:ilvl w:val="0"/>
                <w:numId w:val="27"/>
              </w:numPr>
              <w:ind w:left="56" w:right="-57" w:hanging="113"/>
              <w:contextualSpacing w:val="false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použití standardizované architektury v plném rozsahu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F59A64C" w14:textId="6B5D82FA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1A6A0D21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3D87A959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187899AB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65AC02E5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12F7F9DD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4E3951A0" w14:textId="36897121">
            <w:pPr>
              <w:pStyle w:val="Odstavecseseznamem"/>
              <w:numPr>
                <w:ilvl w:val="0"/>
                <w:numId w:val="27"/>
              </w:numPr>
              <w:ind w:left="56" w:right="-57" w:hanging="113"/>
              <w:contextualSpacing w:val="false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použití standardizované architektury pouze z části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7FD45C3" w14:textId="7405804D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15C64E9C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718662C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4B898567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75CF90F7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36F937B0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11DA1A68" w14:textId="394BDE56">
            <w:pPr>
              <w:pStyle w:val="Odstavecseseznamem"/>
              <w:numPr>
                <w:ilvl w:val="0"/>
                <w:numId w:val="27"/>
              </w:numPr>
              <w:ind w:left="56" w:right="-57" w:hanging="113"/>
              <w:contextualSpacing w:val="false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použití jiné architektury (nestandardizované, vlastní apod.)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733B57C" w14:textId="26931CFB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566B1342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1BB61F7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34E2635D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6C0AAAAB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6FF1AD0D" w14:textId="0D54A525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Způsob rozložení architektury v adresářové </w:t>
            </w:r>
            <w:proofErr w:type="spellStart"/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hiearchii</w:t>
            </w:r>
            <w:proofErr w:type="spellEnd"/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, pojmenování souborů</w:t>
            </w: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704251B0" w14:textId="675EBCC2">
            <w:pPr>
              <w:pStyle w:val="Odstavecseseznamem"/>
              <w:numPr>
                <w:ilvl w:val="0"/>
                <w:numId w:val="31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 xml:space="preserve">dodržení standardu </w:t>
            </w:r>
            <w:proofErr w:type="spellStart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frameworku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3B44B89C" w14:textId="05FB21BB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0C18C671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DED8E6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0D7D74D1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20F73684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46F32F75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7A707C9C" w14:textId="4F5A5A93">
            <w:pPr>
              <w:pStyle w:val="Odstavecseseznamem"/>
              <w:numPr>
                <w:ilvl w:val="0"/>
                <w:numId w:val="31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 xml:space="preserve">přehledná hierarchie a pojmenování souborů, avšak nedodržující standard </w:t>
            </w:r>
            <w:proofErr w:type="spellStart"/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frameworku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8695619" w14:textId="0E49BA62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1 bod</w:t>
            </w:r>
          </w:p>
        </w:tc>
      </w:tr>
      <w:tr w:rsidRPr="00F272FF" w:rsidR="002E003B" w:rsidTr="002E003B" w14:paraId="42D407AF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D8189DC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5D928839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5980E19A" w14:textId="77777777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405BA431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16B6BE13" w14:textId="5B1BAA1F">
            <w:pPr>
              <w:pStyle w:val="Odstavecseseznamem"/>
              <w:numPr>
                <w:ilvl w:val="0"/>
                <w:numId w:val="31"/>
              </w:numPr>
              <w:ind w:left="56" w:right="-57" w:hanging="113"/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i/>
                <w:iCs/>
                <w:spacing w:val="-4"/>
                <w:sz w:val="20"/>
                <w:szCs w:val="20"/>
              </w:rPr>
              <w:t>Nepřehledná hierarchie i pojmenování souborů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BA6A34F" w14:textId="3D8004F6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5E1E5B53" w14:textId="77777777">
        <w:trPr>
          <w:trHeight w:val="1257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4866ADD9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5.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26283068" w14:textId="65CD087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>Formátování kódu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6ED5BFB3" w14:textId="7876982C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Formátování je velmi důležitá věc. Pokud bychom psali kód bez bližšího uvážení nad jeho formátem, zhoršilo by to možnosti vyhledávání v textaci, tj. byl by obtížně či zcela nepoužitelný. Proto je důležité, abychom kód formátovali přehledně, stylisticky úhledně a ideálně s použitím automatického formátování, díky čemuž se v něm budeme i dobře orientovat</w:t>
            </w:r>
            <w:r w:rsidRPr="00F272FF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10B9596F" w14:textId="36C09FA6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Dodržování jednotného formátování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19281F87" w14:textId="2C78372E">
            <w:pPr>
              <w:pStyle w:val="Odstavecseseznamem"/>
              <w:numPr>
                <w:ilvl w:val="0"/>
                <w:numId w:val="28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ukázkový kód používá nástroje na kontrolu automatického formátování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334E4E4B" w14:textId="67991286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1F73EDE7" w14:textId="77777777">
        <w:trPr>
          <w:trHeight w:val="1261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62546E0B" w14:textId="3CC0C3F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5C0E8139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338050C2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5CA6EF47" w14:textId="77777777">
            <w:pPr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0B36579B" w14:textId="3C13C885">
            <w:pPr>
              <w:pStyle w:val="Odstavecseseznamem"/>
              <w:numPr>
                <w:ilvl w:val="0"/>
                <w:numId w:val="28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kód nepoužívá nástroj na automatické formátování, ale je formátován očividně ručně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3ECB7C7F" w14:textId="4AAB7719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70D32BFD" w14:textId="77777777">
        <w:trPr>
          <w:trHeight w:val="473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3D7A819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1FCB8E46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5F1DE147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1858566F" w14:textId="77777777">
            <w:pPr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0FF89A8C" w14:textId="542E8085">
            <w:pPr>
              <w:pStyle w:val="Odstavecseseznamem"/>
              <w:numPr>
                <w:ilvl w:val="0"/>
                <w:numId w:val="28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kód není formátovaný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F4DA581" w14:textId="25F4C5A3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45EC14AE" w14:textId="77777777">
        <w:trPr>
          <w:trHeight w:val="284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4DA27550" w14:textId="56645B3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6.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6C7B690F" w14:textId="19100F2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>Komentáře v kódu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72E7DE3C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i/>
                <w:sz w:val="20"/>
                <w:szCs w:val="20"/>
              </w:rPr>
              <w:t xml:space="preserve">Komentáře jsou v informatice součásti syntaktických pravidel zápisu programu v mnoha programovacích jazycích. Komentář se vkládá </w:t>
            </w:r>
            <w:r w:rsidRPr="00F272FF">
              <w:rPr>
                <w:rFonts w:ascii="Palatino Linotype" w:hAnsi="Palatino Linotype"/>
                <w:i/>
                <w:sz w:val="20"/>
                <w:szCs w:val="20"/>
              </w:rPr>
              <w:lastRenderedPageBreak/>
              <w:t>před nebo za část zdrojového kódu (např. příkaz), jehož funkci nebo význam je potřeba vysvětlit. Používání komentáře není povinné, umožňuje však napomoci k pochopení činnosti programu.</w:t>
            </w:r>
          </w:p>
          <w:p w:rsidRPr="00F272FF" w:rsidR="00F272FF" w:rsidP="00F272FF" w:rsidRDefault="00F272FF" w14:paraId="557A4CF9" w14:textId="4445A174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i/>
                <w:sz w:val="20"/>
                <w:szCs w:val="20"/>
              </w:rPr>
              <w:t>Komentáře by měly být psané spíše sporadicky, protože samotný kód je jeden velký komentář. Kód píšeme tak, aby se dobře četl a nepotřeboval komentáře.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Pr="00F272FF" w:rsidR="00F272FF" w:rsidP="00F272FF" w:rsidRDefault="00F272FF" w14:paraId="6D2F19A4" w14:textId="243EC20B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lastRenderedPageBreak/>
              <w:t xml:space="preserve">Komentáře funkcionalit zdrojového kódu </w:t>
            </w: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4FE7D548" w14:textId="46E9A8BB">
            <w:pPr>
              <w:pStyle w:val="Odstavecseseznamem"/>
              <w:numPr>
                <w:ilvl w:val="0"/>
                <w:numId w:val="32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 xml:space="preserve">Komentáře nejsou potřeba (zdrojový kód je zcela zřejmý), nebo je komentářů jen úměrné množství (do </w:t>
            </w:r>
            <w:proofErr w:type="gramStart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10%</w:t>
            </w:r>
            <w:proofErr w:type="gramEnd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 xml:space="preserve"> funkcionalit)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BEE096B" w14:textId="7344AF93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3FCD67E7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0F5CC047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74490A9A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3128B998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0264DB9B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7249858C" w14:textId="1D8F5FCC">
            <w:pPr>
              <w:pStyle w:val="Odstavecseseznamem"/>
              <w:numPr>
                <w:ilvl w:val="0"/>
                <w:numId w:val="32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10% - 50% funkcionalit není zřejmých a není u nich uveden ani komentář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9954D91" w14:textId="2D107E22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39BB6DD6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4617D38C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1B1B7867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07E6D965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3E2EA03A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1DC5B52D" w14:textId="35253390">
            <w:pPr>
              <w:pStyle w:val="Zkladntext"/>
              <w:numPr>
                <w:ilvl w:val="0"/>
                <w:numId w:val="32"/>
              </w:numPr>
              <w:suppressAutoHyphens/>
              <w:spacing w:after="0"/>
              <w:ind w:left="56" w:right="-57" w:hanging="113"/>
              <w:rPr>
                <w:rFonts w:ascii="Palatino Linotype" w:hAnsi="Palatino Linotype"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Více než 50% funkcionalit není zřejmých a není u nich uveden ani komentář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4C44C99" w14:textId="6CC3AF32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45A05FA0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32F01039" w14:textId="4BFB30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3EAB2676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46EF48D8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Pr="00F272FF" w:rsidR="00F272FF" w:rsidP="00F272FF" w:rsidRDefault="00F272FF" w14:paraId="04BEDB30" w14:textId="61F0A839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Kód využívá anotační způsob popisu metod a objektů </w:t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(např.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JavaDoc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PHPDoc</w:t>
            </w:r>
            <w:proofErr w:type="spellEnd"/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, apod.</w:t>
            </w:r>
            <w:r w:rsidRPr="00F272FF">
              <w:rPr>
                <w:rStyle w:val="Znakapoznpodarou"/>
                <w:rFonts w:ascii="Palatino Linotype" w:hAnsi="Palatino Linotype"/>
                <w:i/>
                <w:spacing w:val="-4"/>
                <w:sz w:val="20"/>
                <w:szCs w:val="20"/>
              </w:rPr>
              <w:footnoteReference w:id="5"/>
            </w:r>
            <w:r w:rsidRPr="00F272FF">
              <w:rPr>
                <w:rFonts w:ascii="Palatino Linotype" w:hAnsi="Palatino Linotype"/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64CA6759" w14:textId="38E38DB1">
            <w:pPr>
              <w:pStyle w:val="Odstavecseseznamem"/>
              <w:numPr>
                <w:ilvl w:val="0"/>
                <w:numId w:val="29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používá u </w:t>
            </w: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  <w:u w:val="single"/>
              </w:rPr>
              <w:t>všech</w:t>
            </w: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 veřejně přístupných objektů, metod a proměnných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43EBBC37" w14:textId="31C2D99C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792C1E06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8749853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1C0469CB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705B48B7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7901889E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4AE30438" w14:textId="70E7C35E">
            <w:pPr>
              <w:pStyle w:val="Odstavecseseznamem"/>
              <w:numPr>
                <w:ilvl w:val="0"/>
                <w:numId w:val="29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používá u </w:t>
            </w: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  <w:u w:val="single"/>
              </w:rPr>
              <w:t>některých (části)</w:t>
            </w: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 veřejně přístupných objektů, metod a proměnných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225A4B3" w14:textId="039C9678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6ABF24B9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2C88B276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13332107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2B86B9F3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Pr="00F272FF" w:rsidR="00F272FF" w:rsidP="00F272FF" w:rsidRDefault="00F272FF" w14:paraId="6A985FCA" w14:textId="77777777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Pr="00F272FF" w:rsidR="00F272FF" w:rsidP="00F272FF" w:rsidRDefault="00F272FF" w14:paraId="729FB148" w14:textId="129397B7">
            <w:pPr>
              <w:pStyle w:val="Odstavecseseznamem"/>
              <w:numPr>
                <w:ilvl w:val="0"/>
                <w:numId w:val="29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nepoužívá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360FC62" w14:textId="3E5C3B05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  <w:tr w:rsidRPr="00F272FF" w:rsidR="002E003B" w:rsidTr="002E003B" w14:paraId="552B4D63" w14:textId="77777777">
        <w:trPr>
          <w:trHeight w:val="284"/>
          <w:jc w:val="center"/>
        </w:trPr>
        <w:tc>
          <w:tcPr>
            <w:tcW w:w="491" w:type="dxa"/>
            <w:vMerge w:val="restart"/>
            <w:shd w:val="clear" w:color="auto" w:fill="auto"/>
          </w:tcPr>
          <w:p w:rsidRPr="00F272FF" w:rsidR="00F272FF" w:rsidP="00F272FF" w:rsidRDefault="00F272FF" w14:paraId="0CE223A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z w:val="20"/>
                <w:szCs w:val="20"/>
              </w:rPr>
              <w:t>7.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Pr="00F272FF" w:rsidR="00F272FF" w:rsidP="00F272FF" w:rsidRDefault="00F272FF" w14:paraId="5A7E088B" w14:textId="18211B3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272FF">
              <w:rPr>
                <w:rFonts w:ascii="Palatino Linotype" w:hAnsi="Palatino Linotype" w:cs="Arial"/>
                <w:b/>
                <w:sz w:val="20"/>
                <w:szCs w:val="20"/>
              </w:rPr>
              <w:t>Testy</w:t>
            </w:r>
          </w:p>
        </w:tc>
        <w:tc>
          <w:tcPr>
            <w:tcW w:w="2488" w:type="dxa"/>
            <w:vMerge w:val="restart"/>
          </w:tcPr>
          <w:p w:rsidRPr="00F272FF" w:rsidR="00F272FF" w:rsidP="00F272FF" w:rsidRDefault="00F272FF" w14:paraId="6463FE42" w14:textId="138B897D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i/>
                <w:sz w:val="20"/>
                <w:szCs w:val="20"/>
              </w:rPr>
              <w:t>Čím vyšší je procentuální pokrytí kódu testy, tím je pravděpodobnější, že se budoucnu předejde zbytečným chybám.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Pr="00F272FF" w:rsidR="00F272FF" w:rsidP="00F272FF" w:rsidRDefault="00F272FF" w14:paraId="599F95F1" w14:textId="61059A92">
            <w:pPr>
              <w:ind w:left="-57" w:right="-57"/>
              <w:rPr>
                <w:rFonts w:ascii="Palatino Linotype" w:hAnsi="Palatino Linotype"/>
                <w:b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Ukázkový zdrojový kód obsahuje testy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6B1E21C9" w14:textId="59049B1A">
            <w:pPr>
              <w:pStyle w:val="Odstavecseseznamem"/>
              <w:numPr>
                <w:ilvl w:val="0"/>
                <w:numId w:val="30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ano (</w:t>
            </w:r>
            <w:proofErr w:type="spellStart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code</w:t>
            </w:r>
            <w:proofErr w:type="spellEnd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coverage</w:t>
            </w:r>
            <w:proofErr w:type="spellEnd"/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 xml:space="preserve"> 60%+)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E0306DD" w14:textId="5D4C38D4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2 body</w:t>
            </w:r>
          </w:p>
        </w:tc>
      </w:tr>
      <w:tr w:rsidRPr="00F272FF" w:rsidR="002E003B" w:rsidTr="002E003B" w14:paraId="07F4E373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1E6BB3D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24DEA029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0BB31E10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538BF7D5" w14:textId="77777777">
            <w:pPr>
              <w:ind w:left="-57" w:right="-57"/>
              <w:jc w:val="center"/>
              <w:rPr>
                <w:rFonts w:ascii="Palatino Linotype" w:hAnsi="Palatino Linotype"/>
                <w:b/>
                <w:spacing w:val="-4"/>
                <w:sz w:val="20"/>
                <w:szCs w:val="20"/>
                <w:highlight w:val="red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71950521" w14:textId="0536C829">
            <w:pPr>
              <w:pStyle w:val="Odstavecseseznamem"/>
              <w:numPr>
                <w:ilvl w:val="0"/>
                <w:numId w:val="30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obsahuje pouze ukázku testů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7CF2C177" w14:textId="4463909D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1 bod</w:t>
            </w:r>
          </w:p>
        </w:tc>
      </w:tr>
      <w:tr w:rsidRPr="00F272FF" w:rsidR="002E003B" w:rsidTr="002E003B" w14:paraId="7F94092C" w14:textId="77777777">
        <w:trPr>
          <w:trHeight w:val="284"/>
          <w:jc w:val="center"/>
        </w:trPr>
        <w:tc>
          <w:tcPr>
            <w:tcW w:w="491" w:type="dxa"/>
            <w:vMerge/>
            <w:shd w:val="clear" w:color="auto" w:fill="auto"/>
          </w:tcPr>
          <w:p w:rsidRPr="00F272FF" w:rsidR="00F272FF" w:rsidP="00F272FF" w:rsidRDefault="00F272FF" w14:paraId="58C677EF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Pr="00F272FF" w:rsidR="00F272FF" w:rsidP="00F272FF" w:rsidRDefault="00F272FF" w14:paraId="50F3FEC3" w14:textId="777777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Pr="00F272FF" w:rsidR="00F272FF" w:rsidP="00F272FF" w:rsidRDefault="00F272FF" w14:paraId="3B81711B" w14:textId="7777777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Pr="00F272FF" w:rsidR="00F272FF" w:rsidP="00F272FF" w:rsidRDefault="00F272FF" w14:paraId="36E51AEE" w14:textId="77777777">
            <w:pPr>
              <w:ind w:left="-57" w:right="-57"/>
              <w:jc w:val="center"/>
              <w:rPr>
                <w:rFonts w:ascii="Palatino Linotype" w:hAnsi="Palatino Linotype"/>
                <w:b/>
                <w:spacing w:val="-4"/>
                <w:sz w:val="20"/>
                <w:szCs w:val="20"/>
                <w:highlight w:val="red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Pr="00F272FF" w:rsidR="00F272FF" w:rsidP="00F272FF" w:rsidRDefault="00F272FF" w14:paraId="6FDCF2B8" w14:textId="0CDA9025">
            <w:pPr>
              <w:pStyle w:val="Odstavecseseznamem"/>
              <w:numPr>
                <w:ilvl w:val="0"/>
                <w:numId w:val="30"/>
              </w:numPr>
              <w:ind w:left="56" w:right="-57" w:hanging="113"/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</w:pPr>
            <w:r w:rsidRPr="00F272FF">
              <w:rPr>
                <w:rFonts w:ascii="Palatino Linotype" w:hAnsi="Palatino Linotype"/>
                <w:b/>
                <w:i/>
                <w:iCs/>
                <w:spacing w:val="-4"/>
                <w:sz w:val="20"/>
                <w:szCs w:val="20"/>
              </w:rPr>
              <w:t>ne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Pr="00F272FF" w:rsidR="00F272FF" w:rsidP="00F272FF" w:rsidRDefault="00F272FF" w14:paraId="0A587BDA" w14:textId="7B4AD33B">
            <w:pPr>
              <w:jc w:val="center"/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</w:pPr>
            <w:r w:rsidRPr="00F272FF">
              <w:rPr>
                <w:rFonts w:ascii="Palatino Linotype" w:hAnsi="Palatino Linotype" w:cs="Calibri"/>
                <w:b/>
                <w:spacing w:val="-2"/>
                <w:sz w:val="20"/>
                <w:szCs w:val="20"/>
              </w:rPr>
              <w:t>0 bodů</w:t>
            </w:r>
          </w:p>
        </w:tc>
      </w:tr>
    </w:tbl>
    <w:p w:rsidR="00881B18" w:rsidP="005272DE" w:rsidRDefault="00881B18" w14:paraId="2F6812DC" w14:textId="77777777">
      <w:pPr>
        <w:spacing w:before="60" w:after="60"/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A415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142" w:footer="89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F1C48" w:rsidP="00193245" w:rsidRDefault="00AF1C48" w14:paraId="21C50CF6" w14:textId="77777777">
      <w:r>
        <w:separator/>
      </w:r>
    </w:p>
  </w:endnote>
  <w:endnote w:type="continuationSeparator" w:id="0">
    <w:p w:rsidR="00AF1C48" w:rsidP="00193245" w:rsidRDefault="00AF1C48" w14:paraId="4BCFED3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610" w:rsidRDefault="00216610" w14:paraId="5BFE3D2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2E741B" w:rsidP="00A05FA8" w:rsidRDefault="002E741B" w14:paraId="575376FE" w14:textId="4E1D15C5">
    <w:pPr>
      <w:pStyle w:val="Zpat"/>
      <w:spacing w:before="12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CD90619" wp14:editId="303A1A66">
          <wp:simplePos x="0" y="0"/>
          <wp:positionH relativeFrom="column">
            <wp:posOffset>1837690</wp:posOffset>
          </wp:positionH>
          <wp:positionV relativeFrom="paragraph">
            <wp:posOffset>28575</wp:posOffset>
          </wp:positionV>
          <wp:extent cx="2628000" cy="543600"/>
          <wp:effectExtent l="0" t="0" r="1270" b="8890"/>
          <wp:wrapNone/>
          <wp:docPr id="19" name="Obrázek 19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610" w:rsidRDefault="00216610" w14:paraId="0650F24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F1C48" w:rsidP="00193245" w:rsidRDefault="00AF1C48" w14:paraId="24640BDF" w14:textId="77777777">
      <w:r>
        <w:separator/>
      </w:r>
    </w:p>
  </w:footnote>
  <w:footnote w:type="continuationSeparator" w:id="0">
    <w:p w:rsidR="00AF1C48" w:rsidP="00193245" w:rsidRDefault="00AF1C48" w14:paraId="79199DE5" w14:textId="77777777">
      <w:r>
        <w:continuationSeparator/>
      </w:r>
    </w:p>
  </w:footnote>
  <w:footnote w:id="1">
    <w:p w:rsidRPr="00486EEC" w:rsidR="00AD6875" w:rsidP="00B2379F" w:rsidRDefault="00AD6875" w14:paraId="09739791" w14:textId="15B15AB2">
      <w:pPr>
        <w:pStyle w:val="Textpoznpodarou"/>
        <w:jc w:val="both"/>
        <w:rPr>
          <w:sz w:val="18"/>
          <w:szCs w:val="18"/>
        </w:rPr>
      </w:pPr>
      <w:r w:rsidRPr="00486EEC">
        <w:rPr>
          <w:rStyle w:val="Znakapoznpodarou"/>
          <w:sz w:val="18"/>
          <w:szCs w:val="18"/>
        </w:rPr>
        <w:footnoteRef/>
      </w:r>
      <w:r w:rsidRPr="00486EEC">
        <w:rPr>
          <w:sz w:val="18"/>
          <w:szCs w:val="18"/>
        </w:rPr>
        <w:t xml:space="preserve"> </w:t>
      </w:r>
      <w:r w:rsidRPr="00486EEC" w:rsidR="00B2379F">
        <w:rPr>
          <w:sz w:val="18"/>
          <w:szCs w:val="18"/>
        </w:rPr>
        <w:t>Angličtina je jako nejvhodnější jazyk určena zadavatelem z toho důvodu, že se jedná o nejčastější, dominantní a běžně využívaný programovací jazyk ve vývoji prakticky veškerých softwarových produktů. Z tohoto důvodu je angličtina také užitně nejvýhodnější, nejpoužitelnější a nejpraktičtější programovací jazyk, neboť zajišťuje nejjednodušší následnou kontrolu</w:t>
      </w:r>
      <w:r w:rsidRPr="00486EEC" w:rsidR="00EA59E6">
        <w:rPr>
          <w:sz w:val="18"/>
          <w:szCs w:val="18"/>
        </w:rPr>
        <w:t xml:space="preserve"> funkčnosti a provozuschopnosti</w:t>
      </w:r>
      <w:r w:rsidRPr="00486EEC" w:rsidR="00B2379F">
        <w:rPr>
          <w:sz w:val="18"/>
          <w:szCs w:val="18"/>
        </w:rPr>
        <w:t xml:space="preserve"> softwarového produktu a jeho kompatibilitu a napojení na případné další softwarové produkty.</w:t>
      </w:r>
    </w:p>
  </w:footnote>
  <w:footnote w:id="2">
    <w:p w:rsidR="00F272FF" w:rsidP="003C5C62" w:rsidRDefault="00F272FF" w14:paraId="717C329F" w14:textId="1769EF2E">
      <w:pPr>
        <w:pStyle w:val="Textpoznpodarou"/>
        <w:tabs>
          <w:tab w:val="left" w:pos="142"/>
        </w:tabs>
        <w:ind w:left="113" w:hanging="113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 xml:space="preserve">pozn. Odkaz na uvedený obchodní název zadavatel uvádí pouze pro přesnější a srozumitelnější popis technického požadavku, přičemž připouští i možnost jiného rovnocenného řešení dle § 89 odst. 6 ZZVZ </w:t>
      </w:r>
      <w:r>
        <w:t xml:space="preserve"> </w:t>
      </w:r>
    </w:p>
  </w:footnote>
  <w:footnote w:id="3">
    <w:p w:rsidR="00F272FF" w:rsidP="003C5C62" w:rsidRDefault="00F272FF" w14:paraId="6C44597F" w14:textId="56098303">
      <w:pPr>
        <w:pStyle w:val="Textpoznpodarou"/>
        <w:tabs>
          <w:tab w:val="left" w:pos="142"/>
        </w:tabs>
        <w:ind w:left="113" w:hanging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pozn. Odkaz na uvedený obchodní název zadavatel uvádí pouze pro přesnější a srozumitelnější popis technického požadavku, přičemž připouští i možnost jiného rovnocenného řešení dle § 89 odst. 6 ZZVZ </w:t>
      </w:r>
      <w:r>
        <w:t xml:space="preserve"> </w:t>
      </w:r>
    </w:p>
  </w:footnote>
  <w:footnote w:id="4">
    <w:p w:rsidR="00F272FF" w:rsidP="003C5C62" w:rsidRDefault="00F272FF" w14:paraId="019D9076" w14:textId="45F3F8FC">
      <w:pPr>
        <w:pStyle w:val="Textpoznpodarou"/>
        <w:tabs>
          <w:tab w:val="left" w:pos="142"/>
        </w:tabs>
        <w:ind w:left="113" w:hanging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pozn. Odkaz na uvedený obchodní název zadavatel uvádí pouze pro přesnější a srozumitelnější popis technického požadavku, přičemž připouští i možnost jiného rovnocenného řešení dle § 89 odst. 6 ZZVZ </w:t>
      </w:r>
      <w:r>
        <w:t xml:space="preserve"> </w:t>
      </w:r>
    </w:p>
  </w:footnote>
  <w:footnote w:id="5">
    <w:p w:rsidR="00F272FF" w:rsidP="006E762B" w:rsidRDefault="00F272FF" w14:paraId="537D2152" w14:textId="0DB3642F">
      <w:pPr>
        <w:pStyle w:val="Textpoznpodarou"/>
        <w:tabs>
          <w:tab w:val="left" w:pos="142"/>
        </w:tabs>
        <w:ind w:left="113" w:hanging="113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 xml:space="preserve">pozn. Odkaz na uvedený obchodní název zadavatel uvádí pouze pro přesnější a srozumitelnější popis technického požadavku, přičemž připouští i možnost jiného rovnocenného řešení dle § 89 odst. 6 ZZVZ </w:t>
      </w:r>
      <w:r>
        <w:t xml:space="preserve"> </w:t>
      </w:r>
    </w:p>
    <w:p w:rsidR="00F272FF" w:rsidRDefault="00F272FF" w14:paraId="68728CB0" w14:textId="02742A4C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610" w:rsidRDefault="00216610" w14:paraId="50D28C4A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4154A" w:rsidR="002E741B" w:rsidP="00A4154A" w:rsidRDefault="002E741B" w14:paraId="1DACCAA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bookmarkStart w:name="_Hlk38637174" w:id="0"/>
    <w:bookmarkStart w:name="_Hlk38637175" w:id="1"/>
    <w:bookmarkStart w:name="_Hlk38637177" w:id="2"/>
    <w:bookmarkStart w:name="_Hlk38637178" w:id="3"/>
    <w:bookmarkStart w:name="_Hlk42280854" w:id="4"/>
    <w:bookmarkStart w:name="_Hlk42280855" w:id="5"/>
    <w:bookmarkStart w:name="_Hlk42280856" w:id="6"/>
    <w:bookmarkStart w:name="_Hlk42280857" w:id="7"/>
    <w:bookmarkStart w:name="_Hlk42280825" w:id="8"/>
    <w:r w:rsidRPr="00A4154A"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08615D0" wp14:editId="42FFA427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8" name="Obrázek 18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54A">
      <w:rPr>
        <w:rFonts w:ascii="Century Gothic" w:hAnsi="Century Gothic"/>
        <w:color w:val="1F497D"/>
        <w:sz w:val="20"/>
        <w:szCs w:val="20"/>
      </w:rPr>
      <w:tab/>
    </w:r>
  </w:p>
  <w:p w:rsidRPr="00A4154A" w:rsidR="002E741B" w:rsidP="00A4154A" w:rsidRDefault="002E741B" w14:paraId="08E660FA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A4154A">
      <w:rPr>
        <w:rFonts w:ascii="Century Gothic" w:hAnsi="Century Gothic"/>
        <w:color w:val="1F497D"/>
        <w:sz w:val="20"/>
        <w:szCs w:val="20"/>
      </w:rPr>
      <w:tab/>
      <w:t>Veřejná zakázka:</w:t>
    </w:r>
  </w:p>
  <w:p w:rsidRPr="00A4154A" w:rsidR="002E741B" w:rsidP="00A4154A" w:rsidRDefault="002E741B" w14:paraId="09230C2C" w14:textId="362313C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A4154A">
      <w:rPr>
        <w:rFonts w:ascii="Century Gothic" w:hAnsi="Century Gothic"/>
        <w:b/>
        <w:bCs/>
        <w:color w:val="1F497D"/>
        <w:sz w:val="20"/>
        <w:szCs w:val="20"/>
      </w:rPr>
      <w:t>„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A4154A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ED4D7E">
      <w:rPr>
        <w:rFonts w:ascii="Century Gothic" w:hAnsi="Century Gothic"/>
        <w:b/>
        <w:bCs/>
        <w:color w:val="1F497D"/>
        <w:sz w:val="20"/>
        <w:szCs w:val="20"/>
      </w:rPr>
      <w:t xml:space="preserve"> </w:t>
    </w:r>
    <w:r w:rsidR="00ED4D7E">
      <w:rPr>
        <w:rFonts w:ascii="Century Gothic" w:hAnsi="Century Gothic"/>
        <w:b/>
        <w:bCs/>
        <w:color w:val="1F497D"/>
        <w:sz w:val="20"/>
        <w:szCs w:val="20"/>
      </w:rPr>
      <w:t>I</w:t>
    </w:r>
    <w:r w:rsidR="00216610">
      <w:rPr>
        <w:rFonts w:ascii="Century Gothic" w:hAnsi="Century Gothic"/>
        <w:b/>
        <w:bCs/>
        <w:color w:val="1F497D"/>
        <w:sz w:val="20"/>
        <w:szCs w:val="20"/>
      </w:rPr>
      <w:t>I</w:t>
    </w:r>
    <w:bookmarkStart w:name="_GoBack" w:id="9"/>
    <w:bookmarkEnd w:id="9"/>
    <w:r w:rsidR="00ED4D7E">
      <w:rPr>
        <w:rFonts w:ascii="Century Gothic" w:hAnsi="Century Gothic"/>
        <w:b/>
        <w:bCs/>
        <w:color w:val="1F497D"/>
        <w:sz w:val="20"/>
        <w:szCs w:val="20"/>
      </w:rPr>
      <w:t>I</w:t>
    </w:r>
    <w:r w:rsidRPr="00A4154A">
      <w:rPr>
        <w:rFonts w:ascii="Century Gothic" w:hAnsi="Century Gothic"/>
        <w:b/>
        <w:bCs/>
        <w:color w:val="1F497D"/>
        <w:sz w:val="20"/>
        <w:szCs w:val="20"/>
      </w:rPr>
      <w:t>“</w:t>
    </w:r>
  </w:p>
  <w:p w:rsidRPr="00A4154A" w:rsidR="002E741B" w:rsidP="00A4154A" w:rsidRDefault="002E741B" w14:paraId="2096B40D" w14:textId="77777777">
    <w:pPr>
      <w:tabs>
        <w:tab w:val="center" w:pos="4536"/>
        <w:tab w:val="right" w:pos="9072"/>
      </w:tabs>
      <w:suppressAutoHyphens/>
      <w:rPr>
        <w:rFonts w:ascii="Century Gothic" w:hAnsi="Century Gothic"/>
        <w:color w:val="1F497D"/>
        <w:sz w:val="22"/>
        <w:szCs w:val="22"/>
      </w:rPr>
    </w:pPr>
    <w:r w:rsidRPr="00A4154A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610" w:rsidRDefault="00216610" w14:paraId="4FC4426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7"/>
        </w:tabs>
        <w:ind w:left="92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BCD6AF7"/>
    <w:multiLevelType w:val="hybridMultilevel"/>
    <w:tmpl w:val="A508C442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9">
    <w:nsid w:val="11550CF0"/>
    <w:multiLevelType w:val="multilevel"/>
    <w:tmpl w:val="E76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5F46323"/>
    <w:multiLevelType w:val="hybridMultilevel"/>
    <w:tmpl w:val="1102BC2E"/>
    <w:lvl w:ilvl="0" w:tplc="B52C0DCE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1">
    <w:nsid w:val="17B47763"/>
    <w:multiLevelType w:val="multilevel"/>
    <w:tmpl w:val="DF7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1C397123"/>
    <w:multiLevelType w:val="hybridMultilevel"/>
    <w:tmpl w:val="2BDE6244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3">
    <w:nsid w:val="21381F39"/>
    <w:multiLevelType w:val="multilevel"/>
    <w:tmpl w:val="2B0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24B4EA1"/>
    <w:multiLevelType w:val="multilevel"/>
    <w:tmpl w:val="7A2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2751591"/>
    <w:multiLevelType w:val="multilevel"/>
    <w:tmpl w:val="1A0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32734C8"/>
    <w:multiLevelType w:val="multilevel"/>
    <w:tmpl w:val="5B4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49E7E32"/>
    <w:multiLevelType w:val="multilevel"/>
    <w:tmpl w:val="107E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25C41AD9"/>
    <w:multiLevelType w:val="hybridMultilevel"/>
    <w:tmpl w:val="62641D24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nsid w:val="27F947E7"/>
    <w:multiLevelType w:val="multilevel"/>
    <w:tmpl w:val="7F4C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2">
    <w:nsid w:val="353E5772"/>
    <w:multiLevelType w:val="hybridMultilevel"/>
    <w:tmpl w:val="176AC3C8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23">
    <w:nsid w:val="35C930A5"/>
    <w:multiLevelType w:val="hybridMultilevel"/>
    <w:tmpl w:val="E228DCD2"/>
    <w:lvl w:ilvl="0" w:tplc="B52C0DC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12B6220"/>
    <w:multiLevelType w:val="multilevel"/>
    <w:tmpl w:val="693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4721503"/>
    <w:multiLevelType w:val="hybridMultilevel"/>
    <w:tmpl w:val="AC804E92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26">
    <w:nsid w:val="46EE68B4"/>
    <w:multiLevelType w:val="multilevel"/>
    <w:tmpl w:val="17C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A0D1B14"/>
    <w:multiLevelType w:val="hybridMultilevel"/>
    <w:tmpl w:val="053AF8A8"/>
    <w:lvl w:ilvl="0" w:tplc="F84403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9F85228"/>
    <w:multiLevelType w:val="multilevel"/>
    <w:tmpl w:val="25CC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5AFD52F8"/>
    <w:multiLevelType w:val="hybridMultilevel"/>
    <w:tmpl w:val="C282905E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0">
    <w:nsid w:val="5CE80BD4"/>
    <w:multiLevelType w:val="hybridMultilevel"/>
    <w:tmpl w:val="0A6659D0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1">
    <w:nsid w:val="63876F30"/>
    <w:multiLevelType w:val="hybridMultilevel"/>
    <w:tmpl w:val="461C2088"/>
    <w:lvl w:ilvl="0" w:tplc="B52C0DC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2208EEA">
      <w:numFmt w:val="bullet"/>
      <w:lvlText w:val="-"/>
      <w:lvlJc w:val="left"/>
      <w:pPr>
        <w:ind w:left="1440" w:hanging="360"/>
      </w:pPr>
      <w:rPr>
        <w:rFonts w:hint="default" w:ascii="Palatino Linotype" w:hAnsi="Palatino Linotype" w:eastAsia="Times New Roman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33">
    <w:nsid w:val="7160470A"/>
    <w:multiLevelType w:val="hybridMultilevel"/>
    <w:tmpl w:val="2C2624A8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4">
    <w:nsid w:val="74D13E67"/>
    <w:multiLevelType w:val="hybridMultilevel"/>
    <w:tmpl w:val="567AE12A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5">
    <w:nsid w:val="77177529"/>
    <w:multiLevelType w:val="hybridMultilevel"/>
    <w:tmpl w:val="E86E5FF2"/>
    <w:lvl w:ilvl="0" w:tplc="F84403BA">
      <w:start w:val="1"/>
      <w:numFmt w:val="bullet"/>
      <w:lvlText w:val=""/>
      <w:lvlJc w:val="left"/>
      <w:pPr>
        <w:ind w:left="66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6">
    <w:nsid w:val="798A6D2F"/>
    <w:multiLevelType w:val="hybridMultilevel"/>
    <w:tmpl w:val="E01C57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11"/>
  </w:num>
  <w:num w:numId="5">
    <w:abstractNumId w:val="14"/>
  </w:num>
  <w:num w:numId="6">
    <w:abstractNumId w:val="15"/>
  </w:num>
  <w:num w:numId="7">
    <w:abstractNumId w:val="26"/>
  </w:num>
  <w:num w:numId="8">
    <w:abstractNumId w:val="16"/>
  </w:num>
  <w:num w:numId="9">
    <w:abstractNumId w:val="17"/>
  </w:num>
  <w:num w:numId="10">
    <w:abstractNumId w:val="24"/>
  </w:num>
  <w:num w:numId="11">
    <w:abstractNumId w:val="13"/>
  </w:num>
  <w:num w:numId="12">
    <w:abstractNumId w:val="28"/>
  </w:num>
  <w:num w:numId="13">
    <w:abstractNumId w:val="19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5"/>
  </w:num>
  <w:num w:numId="24">
    <w:abstractNumId w:val="35"/>
  </w:num>
  <w:num w:numId="25">
    <w:abstractNumId w:val="34"/>
  </w:num>
  <w:num w:numId="26">
    <w:abstractNumId w:val="29"/>
  </w:num>
  <w:num w:numId="27">
    <w:abstractNumId w:val="18"/>
  </w:num>
  <w:num w:numId="28">
    <w:abstractNumId w:val="27"/>
  </w:num>
  <w:num w:numId="29">
    <w:abstractNumId w:val="33"/>
  </w:num>
  <w:num w:numId="30">
    <w:abstractNumId w:val="8"/>
  </w:num>
  <w:num w:numId="31">
    <w:abstractNumId w:val="12"/>
  </w:num>
  <w:num w:numId="32">
    <w:abstractNumId w:val="23"/>
  </w:num>
  <w:num w:numId="33">
    <w:abstractNumId w:val="10"/>
  </w:num>
  <w:num w:numId="34">
    <w:abstractNumId w:val="31"/>
  </w:num>
  <w:num w:numId="35">
    <w:abstractNumId w:val="36"/>
  </w:num>
  <w:num w:numId="36">
    <w:abstractNumId w:val="30"/>
  </w:num>
  <w:num w:numId="37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3"/>
    <w:rsid w:val="000065F5"/>
    <w:rsid w:val="00020876"/>
    <w:rsid w:val="00022FAD"/>
    <w:rsid w:val="00026A29"/>
    <w:rsid w:val="00043D1E"/>
    <w:rsid w:val="00051E26"/>
    <w:rsid w:val="00071FBF"/>
    <w:rsid w:val="000720B7"/>
    <w:rsid w:val="00073C45"/>
    <w:rsid w:val="0007609A"/>
    <w:rsid w:val="000922B5"/>
    <w:rsid w:val="000A3CF3"/>
    <w:rsid w:val="000F3B38"/>
    <w:rsid w:val="00101695"/>
    <w:rsid w:val="001062A0"/>
    <w:rsid w:val="00193245"/>
    <w:rsid w:val="00193A9F"/>
    <w:rsid w:val="001C676D"/>
    <w:rsid w:val="001D6BF5"/>
    <w:rsid w:val="001E2C68"/>
    <w:rsid w:val="00216610"/>
    <w:rsid w:val="0023016B"/>
    <w:rsid w:val="0023433B"/>
    <w:rsid w:val="002371D1"/>
    <w:rsid w:val="00240AB9"/>
    <w:rsid w:val="00263288"/>
    <w:rsid w:val="002A243D"/>
    <w:rsid w:val="002A62A6"/>
    <w:rsid w:val="002B7881"/>
    <w:rsid w:val="002C015F"/>
    <w:rsid w:val="002C5258"/>
    <w:rsid w:val="002D1A62"/>
    <w:rsid w:val="002E003B"/>
    <w:rsid w:val="002E741B"/>
    <w:rsid w:val="0030374C"/>
    <w:rsid w:val="00307AFA"/>
    <w:rsid w:val="00327F70"/>
    <w:rsid w:val="00330CF2"/>
    <w:rsid w:val="00337CFE"/>
    <w:rsid w:val="00357161"/>
    <w:rsid w:val="00365F4F"/>
    <w:rsid w:val="00392A9E"/>
    <w:rsid w:val="00395CD4"/>
    <w:rsid w:val="003C00AB"/>
    <w:rsid w:val="003C5C62"/>
    <w:rsid w:val="003D047E"/>
    <w:rsid w:val="003D06D3"/>
    <w:rsid w:val="003D4A69"/>
    <w:rsid w:val="003F0C77"/>
    <w:rsid w:val="0040280C"/>
    <w:rsid w:val="00404631"/>
    <w:rsid w:val="00404AE0"/>
    <w:rsid w:val="004375AD"/>
    <w:rsid w:val="004475DA"/>
    <w:rsid w:val="00476F71"/>
    <w:rsid w:val="00486EEC"/>
    <w:rsid w:val="004A1C74"/>
    <w:rsid w:val="004C066C"/>
    <w:rsid w:val="004C3FAE"/>
    <w:rsid w:val="004D36BC"/>
    <w:rsid w:val="004D3762"/>
    <w:rsid w:val="004F4787"/>
    <w:rsid w:val="00524395"/>
    <w:rsid w:val="005272DE"/>
    <w:rsid w:val="005309DB"/>
    <w:rsid w:val="00542C1C"/>
    <w:rsid w:val="00557267"/>
    <w:rsid w:val="00565256"/>
    <w:rsid w:val="005857E2"/>
    <w:rsid w:val="00587FD6"/>
    <w:rsid w:val="00592846"/>
    <w:rsid w:val="005C026C"/>
    <w:rsid w:val="005D50B9"/>
    <w:rsid w:val="005E3917"/>
    <w:rsid w:val="005E4916"/>
    <w:rsid w:val="005E6338"/>
    <w:rsid w:val="005F0FDE"/>
    <w:rsid w:val="00605305"/>
    <w:rsid w:val="00627C0D"/>
    <w:rsid w:val="006335C5"/>
    <w:rsid w:val="00634D4C"/>
    <w:rsid w:val="00644AFC"/>
    <w:rsid w:val="00661831"/>
    <w:rsid w:val="00671BCD"/>
    <w:rsid w:val="00677B32"/>
    <w:rsid w:val="00697C31"/>
    <w:rsid w:val="006B6E53"/>
    <w:rsid w:val="006E762B"/>
    <w:rsid w:val="006F79A6"/>
    <w:rsid w:val="00711BE0"/>
    <w:rsid w:val="007425B3"/>
    <w:rsid w:val="0075413D"/>
    <w:rsid w:val="00765701"/>
    <w:rsid w:val="007B4B68"/>
    <w:rsid w:val="007C1442"/>
    <w:rsid w:val="007E4D1B"/>
    <w:rsid w:val="0081403B"/>
    <w:rsid w:val="0081580F"/>
    <w:rsid w:val="00817803"/>
    <w:rsid w:val="00825178"/>
    <w:rsid w:val="00825C6A"/>
    <w:rsid w:val="00851545"/>
    <w:rsid w:val="00853BDB"/>
    <w:rsid w:val="00855456"/>
    <w:rsid w:val="00872683"/>
    <w:rsid w:val="00881B18"/>
    <w:rsid w:val="00890E88"/>
    <w:rsid w:val="00906320"/>
    <w:rsid w:val="009073E1"/>
    <w:rsid w:val="00940E5F"/>
    <w:rsid w:val="00943AA4"/>
    <w:rsid w:val="00955768"/>
    <w:rsid w:val="00972CCB"/>
    <w:rsid w:val="00991A04"/>
    <w:rsid w:val="00993CB8"/>
    <w:rsid w:val="009B30F0"/>
    <w:rsid w:val="009C3BEC"/>
    <w:rsid w:val="009D0797"/>
    <w:rsid w:val="009D41B3"/>
    <w:rsid w:val="009D7604"/>
    <w:rsid w:val="009E1167"/>
    <w:rsid w:val="009E432D"/>
    <w:rsid w:val="009E6AF3"/>
    <w:rsid w:val="00A05FA8"/>
    <w:rsid w:val="00A4154A"/>
    <w:rsid w:val="00A5028B"/>
    <w:rsid w:val="00A5280E"/>
    <w:rsid w:val="00A61F69"/>
    <w:rsid w:val="00A669FA"/>
    <w:rsid w:val="00A84220"/>
    <w:rsid w:val="00AA2535"/>
    <w:rsid w:val="00AD6875"/>
    <w:rsid w:val="00AF0256"/>
    <w:rsid w:val="00AF1001"/>
    <w:rsid w:val="00AF1C48"/>
    <w:rsid w:val="00B2379F"/>
    <w:rsid w:val="00B52F52"/>
    <w:rsid w:val="00B66EC2"/>
    <w:rsid w:val="00B72EC2"/>
    <w:rsid w:val="00B741D6"/>
    <w:rsid w:val="00B756E6"/>
    <w:rsid w:val="00B95B4F"/>
    <w:rsid w:val="00BA409D"/>
    <w:rsid w:val="00BB05A4"/>
    <w:rsid w:val="00BB5E5D"/>
    <w:rsid w:val="00BD6586"/>
    <w:rsid w:val="00BE2374"/>
    <w:rsid w:val="00BF10F8"/>
    <w:rsid w:val="00C0169B"/>
    <w:rsid w:val="00C02D3C"/>
    <w:rsid w:val="00C153D7"/>
    <w:rsid w:val="00C31308"/>
    <w:rsid w:val="00C31F4A"/>
    <w:rsid w:val="00C42335"/>
    <w:rsid w:val="00C51E08"/>
    <w:rsid w:val="00C63D2B"/>
    <w:rsid w:val="00C70519"/>
    <w:rsid w:val="00C85DA9"/>
    <w:rsid w:val="00CB196E"/>
    <w:rsid w:val="00CD193B"/>
    <w:rsid w:val="00CD3774"/>
    <w:rsid w:val="00CE4914"/>
    <w:rsid w:val="00D0249F"/>
    <w:rsid w:val="00D06505"/>
    <w:rsid w:val="00D067A0"/>
    <w:rsid w:val="00D144D0"/>
    <w:rsid w:val="00D4569F"/>
    <w:rsid w:val="00D55A51"/>
    <w:rsid w:val="00D92DBF"/>
    <w:rsid w:val="00D938BE"/>
    <w:rsid w:val="00DA531E"/>
    <w:rsid w:val="00DE0F52"/>
    <w:rsid w:val="00DE545C"/>
    <w:rsid w:val="00DF0D7F"/>
    <w:rsid w:val="00E005EA"/>
    <w:rsid w:val="00E0558A"/>
    <w:rsid w:val="00E25A3A"/>
    <w:rsid w:val="00E31AE7"/>
    <w:rsid w:val="00E44133"/>
    <w:rsid w:val="00E550A5"/>
    <w:rsid w:val="00E81513"/>
    <w:rsid w:val="00EA59E6"/>
    <w:rsid w:val="00ED0548"/>
    <w:rsid w:val="00ED179F"/>
    <w:rsid w:val="00ED4D7E"/>
    <w:rsid w:val="00EE66D2"/>
    <w:rsid w:val="00F05BC4"/>
    <w:rsid w:val="00F13594"/>
    <w:rsid w:val="00F13777"/>
    <w:rsid w:val="00F272FF"/>
    <w:rsid w:val="00F377D8"/>
    <w:rsid w:val="00F5438F"/>
    <w:rsid w:val="00F57CDC"/>
    <w:rsid w:val="00FA0049"/>
    <w:rsid w:val="00FA0BE5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22FA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23433B"/>
    <w:pPr>
      <w:keepNext/>
      <w:numPr>
        <w:ilvl w:val="1"/>
        <w:numId w:val="15"/>
      </w:numPr>
      <w:suppressAutoHyphens/>
      <w:spacing w:before="200" w:after="120"/>
      <w:outlineLvl w:val="1"/>
    </w:pPr>
    <w:rPr>
      <w:rFonts w:ascii="Liberation Sans" w:hAnsi="Liberation Sans" w:eastAsia="Noto Sans CJK SC" w:cs="Droid Sans Devanagari"/>
      <w:b/>
      <w:bCs/>
      <w:kern w:val="2"/>
      <w:sz w:val="32"/>
      <w:szCs w:val="32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343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23433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23433B"/>
    <w:rPr>
      <w:rFonts w:ascii="Liberation Sans" w:hAnsi="Liberation Sans" w:eastAsia="Noto Sans CJK SC" w:cs="Droid Sans Devanagari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788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688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398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4241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7280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8324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742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9505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7099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298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15773-1832-4D4A-B5DD-928C399C44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4</properties:Pages>
  <properties:Words>1011</properties:Words>
  <properties:Characters>5970</properties:Characters>
  <properties:Lines>49</properties:Lines>
  <properties:Paragraphs>13</properties:Paragraphs>
  <properties:TotalTime>845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2020-09-18T14:31:00Z</dcterms:created>
  <dc:creator/>
  <cp:lastModifiedBy/>
  <dcterms:modified xmlns:xsi="http://www.w3.org/2001/XMLSchema-instance" xsi:type="dcterms:W3CDTF">2022-03-28T09:21:00Z</dcterms:modified>
  <cp:revision>55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