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ustom.xml" Type="http://schemas.openxmlformats.org/officeDocument/2006/relationships/custom-properties" Id="rId4"/>
    <Relationship Target="word/document.xml" Type="http://schemas.openxmlformats.org/officeDocument/2006/relationships/officeDocument" Id="rId1"/>
    <Relationship Target="docProps/core.xml" Type="http://schemas.openxmlformats.org/package/2006/relationships/metadata/core-properties" Id="rId2"/>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B320DA" w:rsidR="00B320DA" w:rsidP="00B320DA" w:rsidRDefault="00B320DA" w14:paraId="5091F915" w14:textId="77777777">
      <w:pPr>
        <w:pStyle w:val="walnut-Nadpis1"/>
      </w:pPr>
      <w:r w:rsidRPr="00B320DA">
        <w:t>Smlouva o realizaci projektu</w:t>
      </w:r>
    </w:p>
    <w:p w:rsidR="00B320DA" w:rsidP="00B320DA" w:rsidRDefault="00B320DA" w14:paraId="29A4830F" w14:textId="0B0D8E06">
      <w:pPr>
        <w:pStyle w:val="walnut-Nadpis1-textpod"/>
      </w:pPr>
      <w:r w:rsidRPr="00B320DA">
        <w:t>kterou v souladu s § 1746 odst. 2 zákona č. 89/2012 Sb., občanský zákoník, ve znění pozdějších předpisů, dnešního dne, měsíce a roku uzavřely:</w:t>
      </w:r>
      <w:r w:rsidRPr="00B320DA">
        <w:tab/>
      </w:r>
    </w:p>
    <w:p w:rsidR="00B320DA" w:rsidP="00B320DA" w:rsidRDefault="00B320DA" w14:paraId="6EA8E736" w14:textId="77777777">
      <w:pPr>
        <w:pStyle w:val="walnut-Nadpis1-textpod"/>
      </w:pPr>
    </w:p>
    <w:tbl>
      <w:tblPr>
        <w:tblW w:w="10290" w:type="dxa"/>
        <w:tblInd w:w="55" w:type="dxa"/>
        <w:tblLayout w:type="fixed"/>
        <w:tblCellMar>
          <w:top w:w="55" w:type="dxa"/>
          <w:left w:w="55" w:type="dxa"/>
          <w:bottom w:w="55" w:type="dxa"/>
          <w:right w:w="55" w:type="dxa"/>
        </w:tblCellMar>
        <w:tblLook w:firstRow="0" w:lastRow="0" w:firstColumn="0" w:lastColumn="0" w:noHBand="0" w:noVBand="0" w:val="0000"/>
      </w:tblPr>
      <w:tblGrid>
        <w:gridCol w:w="2850"/>
        <w:gridCol w:w="7440"/>
      </w:tblGrid>
      <w:tr w:rsidRPr="00396F5C" w:rsidR="00B320DA" w:rsidTr="000656E0" w14:paraId="701090AF" w14:textId="77777777">
        <w:tc>
          <w:tcPr>
            <w:tcW w:w="2850" w:type="dxa"/>
            <w:shd w:val="clear" w:color="auto" w:fill="auto"/>
          </w:tcPr>
          <w:p w:rsidRPr="00396F5C" w:rsidR="00B320DA" w:rsidP="000656E0" w:rsidRDefault="00B320DA" w14:paraId="03AC4A3B" w14:textId="49BB74CD">
            <w:pPr>
              <w:rPr>
                <w:rFonts w:eastAsia="Lucida Sans Unicode"/>
              </w:rPr>
            </w:pPr>
            <w:r w:rsidRPr="00396F5C">
              <w:rPr>
                <w:rFonts w:eastAsia="Lucida Sans Unicode"/>
                <w:b/>
                <w:bCs/>
              </w:rPr>
              <w:t>Objednatel</w:t>
            </w:r>
            <w:r w:rsidR="003A4516">
              <w:rPr>
                <w:rFonts w:eastAsia="Lucida Sans Unicode"/>
                <w:b/>
                <w:bCs/>
              </w:rPr>
              <w:t xml:space="preserve"> </w:t>
            </w:r>
          </w:p>
        </w:tc>
        <w:tc>
          <w:tcPr>
            <w:tcW w:w="7440" w:type="dxa"/>
            <w:shd w:val="clear" w:color="auto" w:fill="auto"/>
          </w:tcPr>
          <w:p w:rsidRPr="00396F5C" w:rsidR="00B320DA" w:rsidP="000656E0" w:rsidRDefault="00364E35" w14:paraId="03A87156" w14:textId="261AD167">
            <w:pPr>
              <w:rPr>
                <w:rFonts w:eastAsia="Lucida Sans Unicode"/>
              </w:rPr>
            </w:pPr>
            <w:r>
              <w:rPr>
                <w:rFonts w:eastAsia="Lucida Sans Unicode"/>
                <w:lang w:val="en-GB"/>
              </w:rPr>
              <w:t>JS Communication s.r.o.</w:t>
            </w:r>
          </w:p>
        </w:tc>
      </w:tr>
      <w:tr w:rsidRPr="00396F5C" w:rsidR="00B320DA" w:rsidTr="000656E0" w14:paraId="51589AB1" w14:textId="77777777">
        <w:tc>
          <w:tcPr>
            <w:tcW w:w="2850" w:type="dxa"/>
            <w:shd w:val="clear" w:color="auto" w:fill="auto"/>
          </w:tcPr>
          <w:p w:rsidRPr="00396F5C" w:rsidR="00B320DA" w:rsidP="000656E0" w:rsidRDefault="00B320DA" w14:paraId="468B7C5D" w14:textId="77777777">
            <w:pPr>
              <w:rPr>
                <w:rFonts w:eastAsia="Lucida Sans Unicode"/>
              </w:rPr>
            </w:pPr>
            <w:r w:rsidRPr="00396F5C">
              <w:rPr>
                <w:rFonts w:eastAsia="Lucida Sans Unicode"/>
              </w:rPr>
              <w:t>Se sídlem:</w:t>
            </w:r>
          </w:p>
        </w:tc>
        <w:tc>
          <w:tcPr>
            <w:tcW w:w="7440" w:type="dxa"/>
            <w:shd w:val="clear" w:color="auto" w:fill="auto"/>
          </w:tcPr>
          <w:p w:rsidRPr="00396F5C" w:rsidR="00B320DA" w:rsidP="000656E0" w:rsidRDefault="00364E35" w14:paraId="702EE01D" w14:textId="49250128">
            <w:pPr>
              <w:rPr>
                <w:rFonts w:eastAsia="Lucida Sans Unicode"/>
              </w:rPr>
            </w:pPr>
            <w:r>
              <w:rPr>
                <w:rFonts w:eastAsia="Lucida Sans Unicode"/>
              </w:rPr>
              <w:t>Hlavní 784, Albrechtice 735 43</w:t>
            </w:r>
          </w:p>
        </w:tc>
      </w:tr>
      <w:tr w:rsidRPr="00396F5C" w:rsidR="00B320DA" w:rsidTr="000656E0" w14:paraId="0F06B1C4" w14:textId="77777777">
        <w:tc>
          <w:tcPr>
            <w:tcW w:w="2850" w:type="dxa"/>
            <w:shd w:val="clear" w:color="auto" w:fill="auto"/>
          </w:tcPr>
          <w:p w:rsidRPr="00396F5C" w:rsidR="00B320DA" w:rsidP="000656E0" w:rsidRDefault="00B320DA" w14:paraId="4F335057" w14:textId="77777777">
            <w:pPr>
              <w:rPr>
                <w:rFonts w:eastAsia="Lucida Sans Unicode"/>
                <w:color w:val="000000"/>
              </w:rPr>
            </w:pPr>
            <w:r w:rsidRPr="00396F5C">
              <w:rPr>
                <w:rFonts w:eastAsia="Lucida Sans Unicode"/>
              </w:rPr>
              <w:t>IČ/DIČ:</w:t>
            </w:r>
          </w:p>
        </w:tc>
        <w:tc>
          <w:tcPr>
            <w:tcW w:w="7440" w:type="dxa"/>
            <w:shd w:val="clear" w:color="auto" w:fill="auto"/>
          </w:tcPr>
          <w:p w:rsidRPr="00396F5C" w:rsidR="00B320DA" w:rsidP="000656E0" w:rsidRDefault="00364E35" w14:paraId="7E9E03DA" w14:textId="00217B7B">
            <w:pPr>
              <w:rPr>
                <w:rFonts w:eastAsia="Lucida Sans Unicode"/>
              </w:rPr>
            </w:pPr>
            <w:r>
              <w:rPr>
                <w:rFonts w:eastAsia="Lucida Sans Unicode"/>
              </w:rPr>
              <w:t>29454786</w:t>
            </w:r>
            <w:r w:rsidRPr="008F13DF" w:rsidR="00B320DA">
              <w:rPr>
                <w:rFonts w:eastAsia="Lucida Sans Unicode"/>
              </w:rPr>
              <w:t>/CZ</w:t>
            </w:r>
            <w:r>
              <w:rPr>
                <w:rFonts w:eastAsia="Lucida Sans Unicode"/>
              </w:rPr>
              <w:t>29454786</w:t>
            </w:r>
          </w:p>
        </w:tc>
      </w:tr>
      <w:tr w:rsidRPr="00396F5C" w:rsidR="00B320DA" w:rsidTr="000656E0" w14:paraId="7D599477" w14:textId="77777777">
        <w:tc>
          <w:tcPr>
            <w:tcW w:w="2850" w:type="dxa"/>
            <w:shd w:val="clear" w:color="auto" w:fill="auto"/>
          </w:tcPr>
          <w:p w:rsidRPr="00396F5C" w:rsidR="00B320DA" w:rsidP="000656E0" w:rsidRDefault="00B320DA" w14:paraId="0EDE7184" w14:textId="77777777">
            <w:pPr>
              <w:rPr>
                <w:rFonts w:eastAsia="Lucida Sans Unicode"/>
                <w:color w:val="000000"/>
              </w:rPr>
            </w:pPr>
            <w:r w:rsidRPr="00396F5C">
              <w:rPr>
                <w:rFonts w:eastAsia="Lucida Sans Unicode"/>
              </w:rPr>
              <w:t>Bankovní spojení:</w:t>
            </w:r>
          </w:p>
        </w:tc>
        <w:tc>
          <w:tcPr>
            <w:tcW w:w="7440" w:type="dxa"/>
            <w:shd w:val="clear" w:color="auto" w:fill="auto"/>
          </w:tcPr>
          <w:p w:rsidRPr="00396F5C" w:rsidR="00B320DA" w:rsidP="000656E0" w:rsidRDefault="00364E35" w14:paraId="06B5891B" w14:textId="103DBDE0">
            <w:pPr>
              <w:rPr>
                <w:rFonts w:eastAsia="Lucida Sans Unicode"/>
              </w:rPr>
            </w:pPr>
            <w:r w:rsidRPr="00364E35">
              <w:rPr>
                <w:rFonts w:eastAsia="Lucida Sans Unicode"/>
              </w:rPr>
              <w:t>107-3258410297/0100</w:t>
            </w:r>
          </w:p>
        </w:tc>
      </w:tr>
      <w:tr w:rsidRPr="00396F5C" w:rsidR="00B320DA" w:rsidTr="000656E0" w14:paraId="74DA44A3" w14:textId="77777777">
        <w:tc>
          <w:tcPr>
            <w:tcW w:w="2850" w:type="dxa"/>
            <w:shd w:val="clear" w:color="auto" w:fill="auto"/>
          </w:tcPr>
          <w:p w:rsidRPr="00396F5C" w:rsidR="00B320DA" w:rsidP="000656E0" w:rsidRDefault="00B320DA" w14:paraId="70A19A41" w14:textId="77777777">
            <w:pPr>
              <w:rPr>
                <w:rFonts w:eastAsia="Lucida Sans Unicode"/>
              </w:rPr>
            </w:pPr>
            <w:r w:rsidRPr="00396F5C">
              <w:rPr>
                <w:rFonts w:eastAsia="Lucida Sans Unicode"/>
              </w:rPr>
              <w:t xml:space="preserve">Zastoupený: </w:t>
            </w:r>
          </w:p>
        </w:tc>
        <w:tc>
          <w:tcPr>
            <w:tcW w:w="7440" w:type="dxa"/>
            <w:shd w:val="clear" w:color="auto" w:fill="auto"/>
          </w:tcPr>
          <w:p w:rsidRPr="00396F5C" w:rsidR="00B320DA" w:rsidP="00364E35" w:rsidRDefault="00364E35" w14:paraId="02A7A7BA" w14:textId="0D6B6E6E">
            <w:pPr>
              <w:rPr>
                <w:rFonts w:eastAsia="Lucida Sans Unicode"/>
                <w:i/>
                <w:iCs/>
              </w:rPr>
            </w:pPr>
            <w:r>
              <w:rPr>
                <w:rFonts w:eastAsia="Lucida Sans Unicode"/>
              </w:rPr>
              <w:t>Bc. Milan Ježek</w:t>
            </w:r>
            <w:r w:rsidRPr="00396F5C" w:rsidR="00B320DA">
              <w:rPr>
                <w:rFonts w:eastAsia="Lucida Sans Unicode"/>
              </w:rPr>
              <w:t xml:space="preserve">, </w:t>
            </w:r>
            <w:r>
              <w:rPr>
                <w:rFonts w:eastAsia="Lucida Sans Unicode"/>
              </w:rPr>
              <w:t>jednatel</w:t>
            </w:r>
            <w:r w:rsidR="00B320DA">
              <w:rPr>
                <w:rFonts w:eastAsia="Lucida Sans Unicode"/>
              </w:rPr>
              <w:t xml:space="preserve"> společnosti</w:t>
            </w:r>
          </w:p>
        </w:tc>
      </w:tr>
    </w:tbl>
    <w:p w:rsidRPr="00396F5C" w:rsidR="00B320DA" w:rsidP="00B320DA" w:rsidRDefault="00B320DA" w14:paraId="748818A6" w14:textId="77777777">
      <w:pPr>
        <w:spacing w:before="57"/>
        <w:rPr>
          <w:rFonts w:eastAsia="Lucida Sans Unicode"/>
          <w:b/>
          <w:bCs/>
        </w:rPr>
      </w:pPr>
      <w:r w:rsidRPr="00396F5C">
        <w:rPr>
          <w:rFonts w:eastAsia="Lucida Sans Unicode"/>
          <w:i/>
          <w:iCs/>
        </w:rPr>
        <w:t>(dále jen „objednatel“) na straně jedné</w:t>
      </w:r>
    </w:p>
    <w:p w:rsidRPr="00396F5C" w:rsidR="00B320DA" w:rsidP="00B320DA" w:rsidRDefault="00B320DA" w14:paraId="24269DC1" w14:textId="77777777">
      <w:pPr>
        <w:spacing w:before="283" w:after="283"/>
        <w:rPr>
          <w:rFonts w:eastAsia="Lucida Sans Unicode"/>
          <w:b/>
          <w:bCs/>
        </w:rPr>
      </w:pPr>
      <w:r w:rsidRPr="00396F5C">
        <w:rPr>
          <w:rFonts w:eastAsia="Lucida Sans Unicode"/>
          <w:b/>
          <w:bCs/>
        </w:rPr>
        <w:t>a</w:t>
      </w:r>
    </w:p>
    <w:tbl>
      <w:tblPr>
        <w:tblW w:w="10299" w:type="dxa"/>
        <w:tblInd w:w="46" w:type="dxa"/>
        <w:tblLayout w:type="fixed"/>
        <w:tblCellMar>
          <w:top w:w="55" w:type="dxa"/>
          <w:left w:w="55" w:type="dxa"/>
          <w:bottom w:w="55" w:type="dxa"/>
          <w:right w:w="55" w:type="dxa"/>
        </w:tblCellMar>
        <w:tblLook w:firstRow="0" w:lastRow="0" w:firstColumn="0" w:lastColumn="0" w:noHBand="0" w:noVBand="0" w:val="0000"/>
      </w:tblPr>
      <w:tblGrid>
        <w:gridCol w:w="2865"/>
        <w:gridCol w:w="7434"/>
      </w:tblGrid>
      <w:tr w:rsidRPr="00396F5C" w:rsidR="00B320DA" w:rsidTr="000656E0" w14:paraId="525E1E39" w14:textId="77777777">
        <w:tc>
          <w:tcPr>
            <w:tcW w:w="2865" w:type="dxa"/>
            <w:shd w:val="clear" w:color="auto" w:fill="auto"/>
          </w:tcPr>
          <w:p w:rsidRPr="00396F5C" w:rsidR="00B320DA" w:rsidP="000656E0" w:rsidRDefault="00B320DA" w14:paraId="787EBBEB" w14:textId="77777777">
            <w:pPr>
              <w:rPr>
                <w:rFonts w:eastAsia="Lucida Sans Unicode"/>
              </w:rPr>
            </w:pPr>
            <w:r>
              <w:rPr>
                <w:rFonts w:eastAsia="Lucida Sans Unicode"/>
                <w:b/>
                <w:bCs/>
              </w:rPr>
              <w:t>Dodavatel</w:t>
            </w:r>
          </w:p>
        </w:tc>
        <w:tc>
          <w:tcPr>
            <w:tcW w:w="7434" w:type="dxa"/>
            <w:shd w:val="clear" w:color="auto" w:fill="auto"/>
          </w:tcPr>
          <w:p w:rsidRPr="00396F5C" w:rsidR="00B320DA" w:rsidP="000656E0" w:rsidRDefault="00B320DA" w14:paraId="30FC192A" w14:textId="77777777">
            <w:pPr>
              <w:rPr>
                <w:rFonts w:eastAsia="Lucida Sans Unicode"/>
              </w:rPr>
            </w:pPr>
            <w:r w:rsidRPr="00396F5C">
              <w:rPr>
                <w:rFonts w:eastAsia="Lucida Sans Unicode"/>
                <w:highlight w:val="yellow"/>
              </w:rPr>
              <w:t>VLOŽIT</w:t>
            </w:r>
            <w:r w:rsidRPr="00396F5C">
              <w:rPr>
                <w:rFonts w:eastAsia="Lucida Sans Unicode"/>
              </w:rPr>
              <w:t xml:space="preserve"> </w:t>
            </w:r>
          </w:p>
        </w:tc>
      </w:tr>
      <w:tr w:rsidRPr="00396F5C" w:rsidR="00B320DA" w:rsidTr="000656E0" w14:paraId="4E8BB6B6" w14:textId="77777777">
        <w:tc>
          <w:tcPr>
            <w:tcW w:w="2865" w:type="dxa"/>
            <w:shd w:val="clear" w:color="auto" w:fill="auto"/>
          </w:tcPr>
          <w:p w:rsidRPr="00396F5C" w:rsidR="00B320DA" w:rsidP="000656E0" w:rsidRDefault="00B320DA" w14:paraId="7FBA52DC" w14:textId="77777777">
            <w:pPr>
              <w:rPr>
                <w:rFonts w:eastAsia="Lucida Sans Unicode"/>
              </w:rPr>
            </w:pPr>
            <w:r w:rsidRPr="00396F5C">
              <w:rPr>
                <w:rFonts w:eastAsia="Lucida Sans Unicode"/>
              </w:rPr>
              <w:t>Se sídlem:</w:t>
            </w:r>
          </w:p>
        </w:tc>
        <w:tc>
          <w:tcPr>
            <w:tcW w:w="7434" w:type="dxa"/>
            <w:shd w:val="clear" w:color="auto" w:fill="auto"/>
          </w:tcPr>
          <w:p w:rsidRPr="00396F5C" w:rsidR="00B320DA" w:rsidP="000656E0" w:rsidRDefault="00B320DA" w14:paraId="2A09C02D" w14:textId="77777777">
            <w:pPr>
              <w:rPr>
                <w:rFonts w:eastAsia="Lucida Sans Unicode"/>
              </w:rPr>
            </w:pPr>
            <w:r w:rsidRPr="00396F5C">
              <w:rPr>
                <w:rFonts w:eastAsia="Lucida Sans Unicode"/>
                <w:highlight w:val="yellow"/>
              </w:rPr>
              <w:t>VLOŽIT</w:t>
            </w:r>
            <w:r w:rsidRPr="00396F5C">
              <w:rPr>
                <w:rFonts w:eastAsia="Lucida Sans Unicode"/>
              </w:rPr>
              <w:t xml:space="preserve">  </w:t>
            </w:r>
            <w:r w:rsidRPr="00396F5C">
              <w:rPr>
                <w:rFonts w:eastAsia="Lucida Sans Unicode"/>
                <w:highlight w:val="yellow"/>
              </w:rPr>
              <w:t>VLOŽIT</w:t>
            </w:r>
            <w:r w:rsidRPr="00396F5C">
              <w:rPr>
                <w:rFonts w:eastAsia="Lucida Sans Unicode"/>
              </w:rPr>
              <w:t>,</w:t>
            </w:r>
          </w:p>
          <w:p w:rsidRPr="00396F5C" w:rsidR="00B320DA" w:rsidP="000656E0" w:rsidRDefault="00B320DA" w14:paraId="531E5ABC" w14:textId="77777777">
            <w:pPr>
              <w:rPr>
                <w:rFonts w:eastAsia="Lucida Sans Unicode"/>
              </w:rPr>
            </w:pPr>
            <w:r w:rsidRPr="00396F5C">
              <w:rPr>
                <w:rFonts w:eastAsia="Lucida Sans Unicode"/>
                <w:highlight w:val="yellow"/>
              </w:rPr>
              <w:t>VLOŽIT</w:t>
            </w:r>
            <w:r w:rsidRPr="00396F5C">
              <w:rPr>
                <w:rFonts w:eastAsia="Lucida Sans Unicode"/>
              </w:rPr>
              <w:t xml:space="preserve">  </w:t>
            </w:r>
            <w:r w:rsidRPr="00396F5C">
              <w:rPr>
                <w:rFonts w:eastAsia="Lucida Sans Unicode"/>
                <w:highlight w:val="yellow"/>
              </w:rPr>
              <w:t>VLOŽIT</w:t>
            </w:r>
          </w:p>
        </w:tc>
      </w:tr>
      <w:tr w:rsidRPr="00396F5C" w:rsidR="00B320DA" w:rsidTr="000656E0" w14:paraId="30F2386F" w14:textId="77777777">
        <w:tc>
          <w:tcPr>
            <w:tcW w:w="2865" w:type="dxa"/>
            <w:shd w:val="clear" w:color="auto" w:fill="auto"/>
          </w:tcPr>
          <w:p w:rsidRPr="00396F5C" w:rsidR="00B320DA" w:rsidP="000656E0" w:rsidRDefault="00B320DA" w14:paraId="60ED4AD8" w14:textId="77777777">
            <w:pPr>
              <w:rPr>
                <w:rFonts w:eastAsia="Lucida Sans Unicode"/>
              </w:rPr>
            </w:pPr>
            <w:r w:rsidRPr="00396F5C">
              <w:rPr>
                <w:rFonts w:eastAsia="Lucida Sans Unicode"/>
              </w:rPr>
              <w:t>IČ:</w:t>
            </w:r>
          </w:p>
        </w:tc>
        <w:tc>
          <w:tcPr>
            <w:tcW w:w="7434" w:type="dxa"/>
            <w:shd w:val="clear" w:color="auto" w:fill="auto"/>
          </w:tcPr>
          <w:p w:rsidRPr="00396F5C" w:rsidR="00B320DA" w:rsidP="000656E0" w:rsidRDefault="00B320DA" w14:paraId="0A5D1B6F" w14:textId="77777777">
            <w:pPr>
              <w:rPr>
                <w:rFonts w:eastAsia="Lucida Sans Unicode"/>
              </w:rPr>
            </w:pPr>
            <w:r w:rsidRPr="00396F5C">
              <w:rPr>
                <w:rFonts w:eastAsia="Lucida Sans Unicode"/>
                <w:highlight w:val="yellow"/>
              </w:rPr>
              <w:t>VLOŽIT</w:t>
            </w:r>
            <w:r w:rsidRPr="00396F5C">
              <w:rPr>
                <w:rFonts w:eastAsia="Lucida Sans Unicode"/>
              </w:rPr>
              <w:t xml:space="preserve"> </w:t>
            </w:r>
          </w:p>
        </w:tc>
      </w:tr>
      <w:tr w:rsidRPr="00396F5C" w:rsidR="00B320DA" w:rsidTr="000656E0" w14:paraId="48B930BB" w14:textId="77777777">
        <w:tc>
          <w:tcPr>
            <w:tcW w:w="2865" w:type="dxa"/>
            <w:shd w:val="clear" w:color="auto" w:fill="auto"/>
          </w:tcPr>
          <w:p w:rsidRPr="00396F5C" w:rsidR="00B320DA" w:rsidP="000656E0" w:rsidRDefault="00B320DA" w14:paraId="576BBC43" w14:textId="77777777">
            <w:pPr>
              <w:rPr>
                <w:rFonts w:eastAsia="Lucida Sans Unicode"/>
              </w:rPr>
            </w:pPr>
            <w:r w:rsidRPr="00396F5C">
              <w:rPr>
                <w:rFonts w:eastAsia="Lucida Sans Unicode"/>
              </w:rPr>
              <w:t>DIČ:</w:t>
            </w:r>
          </w:p>
        </w:tc>
        <w:tc>
          <w:tcPr>
            <w:tcW w:w="7434" w:type="dxa"/>
            <w:shd w:val="clear" w:color="auto" w:fill="auto"/>
          </w:tcPr>
          <w:p w:rsidRPr="00396F5C" w:rsidR="00B320DA" w:rsidP="000656E0" w:rsidRDefault="00B320DA" w14:paraId="5B222A2F" w14:textId="77777777">
            <w:pPr>
              <w:rPr>
                <w:rFonts w:eastAsia="Lucida Sans Unicode"/>
              </w:rPr>
            </w:pPr>
            <w:r w:rsidRPr="00396F5C">
              <w:rPr>
                <w:rFonts w:eastAsia="Lucida Sans Unicode"/>
                <w:highlight w:val="yellow"/>
              </w:rPr>
              <w:t>VLOŽIT</w:t>
            </w:r>
            <w:r w:rsidRPr="00396F5C">
              <w:rPr>
                <w:rFonts w:eastAsia="Lucida Sans Unicode"/>
              </w:rPr>
              <w:t xml:space="preserve"> </w:t>
            </w:r>
          </w:p>
        </w:tc>
      </w:tr>
      <w:tr w:rsidRPr="00396F5C" w:rsidR="00B320DA" w:rsidTr="000656E0" w14:paraId="231CD8BC" w14:textId="77777777">
        <w:tc>
          <w:tcPr>
            <w:tcW w:w="2865" w:type="dxa"/>
            <w:shd w:val="clear" w:color="auto" w:fill="auto"/>
          </w:tcPr>
          <w:p w:rsidRPr="00396F5C" w:rsidR="00B320DA" w:rsidP="000656E0" w:rsidRDefault="00B320DA" w14:paraId="038F3FBE" w14:textId="77777777">
            <w:pPr>
              <w:rPr>
                <w:rFonts w:eastAsia="Lucida Sans Unicode"/>
              </w:rPr>
            </w:pPr>
            <w:r w:rsidRPr="00396F5C">
              <w:rPr>
                <w:rFonts w:eastAsia="Lucida Sans Unicode"/>
              </w:rPr>
              <w:t>Bankovní spojení:</w:t>
            </w:r>
          </w:p>
        </w:tc>
        <w:tc>
          <w:tcPr>
            <w:tcW w:w="7434" w:type="dxa"/>
            <w:shd w:val="clear" w:color="auto" w:fill="auto"/>
          </w:tcPr>
          <w:p w:rsidRPr="00396F5C" w:rsidR="00B320DA" w:rsidP="000656E0" w:rsidRDefault="00B320DA" w14:paraId="298D0C47" w14:textId="77777777">
            <w:pPr>
              <w:rPr>
                <w:rFonts w:eastAsia="Lucida Sans Unicode"/>
              </w:rPr>
            </w:pPr>
            <w:r w:rsidRPr="00396F5C">
              <w:rPr>
                <w:rFonts w:eastAsia="Lucida Sans Unicode"/>
                <w:highlight w:val="yellow"/>
              </w:rPr>
              <w:t>VLOŽIT</w:t>
            </w:r>
            <w:r w:rsidRPr="00396F5C">
              <w:rPr>
                <w:rFonts w:eastAsia="Lucida Sans Unicode"/>
              </w:rPr>
              <w:t xml:space="preserve"> </w:t>
            </w:r>
          </w:p>
        </w:tc>
      </w:tr>
      <w:tr w:rsidRPr="00396F5C" w:rsidR="00B320DA" w:rsidTr="000656E0" w14:paraId="60B64954" w14:textId="77777777">
        <w:tc>
          <w:tcPr>
            <w:tcW w:w="2865" w:type="dxa"/>
            <w:shd w:val="clear" w:color="auto" w:fill="auto"/>
          </w:tcPr>
          <w:p w:rsidRPr="00396F5C" w:rsidR="00B320DA" w:rsidP="000656E0" w:rsidRDefault="00B320DA" w14:paraId="24B36F14" w14:textId="77777777">
            <w:pPr>
              <w:rPr>
                <w:rFonts w:eastAsia="Lucida Sans Unicode"/>
              </w:rPr>
            </w:pPr>
            <w:r w:rsidRPr="00396F5C">
              <w:rPr>
                <w:rFonts w:eastAsia="Lucida Sans Unicode"/>
              </w:rPr>
              <w:t xml:space="preserve">Zastoupený: </w:t>
            </w:r>
          </w:p>
        </w:tc>
        <w:tc>
          <w:tcPr>
            <w:tcW w:w="7434" w:type="dxa"/>
            <w:shd w:val="clear" w:color="auto" w:fill="auto"/>
          </w:tcPr>
          <w:p w:rsidRPr="00396F5C" w:rsidR="00B320DA" w:rsidP="000656E0" w:rsidRDefault="00B320DA" w14:paraId="12B91062" w14:textId="77777777">
            <w:pPr>
              <w:rPr>
                <w:rFonts w:eastAsia="Lucida Sans Unicode"/>
              </w:rPr>
            </w:pPr>
            <w:r w:rsidRPr="00396F5C">
              <w:rPr>
                <w:rFonts w:eastAsia="Lucida Sans Unicode"/>
                <w:highlight w:val="yellow"/>
              </w:rPr>
              <w:t>VLOŽIT</w:t>
            </w:r>
            <w:r w:rsidRPr="00396F5C">
              <w:rPr>
                <w:rFonts w:eastAsia="Lucida Sans Unicode"/>
              </w:rPr>
              <w:t xml:space="preserve"> </w:t>
            </w:r>
            <w:r w:rsidRPr="00396F5C">
              <w:rPr>
                <w:rFonts w:eastAsia="Lucida Sans Unicode"/>
                <w:highlight w:val="yellow"/>
              </w:rPr>
              <w:t>VLOŽIT</w:t>
            </w:r>
            <w:r w:rsidRPr="00396F5C">
              <w:rPr>
                <w:rFonts w:eastAsia="Lucida Sans Unicode"/>
              </w:rPr>
              <w:t xml:space="preserve">, </w:t>
            </w:r>
            <w:r w:rsidRPr="00396F5C">
              <w:rPr>
                <w:rFonts w:eastAsia="Lucida Sans Unicode"/>
                <w:highlight w:val="yellow"/>
              </w:rPr>
              <w:t>VLOŽIT</w:t>
            </w:r>
          </w:p>
        </w:tc>
      </w:tr>
    </w:tbl>
    <w:p w:rsidRPr="00396F5C" w:rsidR="00B320DA" w:rsidP="00B320DA" w:rsidRDefault="00B320DA" w14:paraId="4C281187" w14:textId="77777777">
      <w:pPr>
        <w:spacing w:before="57" w:after="57"/>
        <w:rPr>
          <w:rFonts w:eastAsia="Lucida Sans Unicode"/>
        </w:rPr>
      </w:pPr>
      <w:r w:rsidRPr="00396F5C">
        <w:rPr>
          <w:rFonts w:eastAsia="Lucida Sans Unicode"/>
          <w:i/>
          <w:iCs/>
        </w:rPr>
        <w:t xml:space="preserve"> (dále jen „</w:t>
      </w:r>
      <w:r>
        <w:rPr>
          <w:rFonts w:eastAsia="Lucida Sans Unicode"/>
          <w:i/>
          <w:iCs/>
        </w:rPr>
        <w:t>dodavatel</w:t>
      </w:r>
      <w:r w:rsidRPr="00396F5C">
        <w:rPr>
          <w:rFonts w:eastAsia="Lucida Sans Unicode"/>
          <w:i/>
          <w:iCs/>
        </w:rPr>
        <w:t>“) na straně druhé</w:t>
      </w:r>
      <w:r w:rsidRPr="00396F5C">
        <w:rPr>
          <w:rFonts w:eastAsia="Lucida Sans Unicode"/>
          <w:b/>
          <w:bCs/>
          <w:i/>
          <w:iCs/>
        </w:rPr>
        <w:t>.</w:t>
      </w:r>
    </w:p>
    <w:p w:rsidRPr="0002076D" w:rsidR="00B320DA" w:rsidP="00B320DA" w:rsidRDefault="00B320DA" w14:paraId="3835451B" w14:textId="77777777">
      <w:pPr>
        <w:spacing w:before="283" w:after="283"/>
        <w:ind w:right="720"/>
        <w:rPr>
          <w:rFonts w:eastAsia="Lucida Sans Unicode"/>
        </w:rPr>
      </w:pPr>
      <w:r w:rsidRPr="00396F5C">
        <w:rPr>
          <w:rFonts w:eastAsia="Lucida Sans Unicode"/>
        </w:rPr>
        <w:t xml:space="preserve">Objednatel a zhotovitel společně také jako </w:t>
      </w:r>
      <w:r w:rsidRPr="00396F5C">
        <w:rPr>
          <w:rFonts w:eastAsia="Lucida Sans Unicode"/>
          <w:i/>
        </w:rPr>
        <w:t>„smluvní strany“:</w:t>
      </w:r>
    </w:p>
    <w:p w:rsidR="00260AB0" w:rsidP="00260AB0" w:rsidRDefault="00260AB0" w14:paraId="25E434F5" w14:textId="77777777">
      <w:pPr>
        <w:pStyle w:val="walnut-Odstavec1"/>
        <w:numPr>
          <w:ilvl w:val="0"/>
          <w:numId w:val="0"/>
        </w:numPr>
        <w:ind w:left="567"/>
      </w:pPr>
    </w:p>
    <w:p w:rsidRPr="00B320DA" w:rsidR="00B320DA" w:rsidP="00B320DA" w:rsidRDefault="00B320DA" w14:paraId="125A444A" w14:textId="2744A7D3">
      <w:pPr>
        <w:pStyle w:val="walnut-Odstavec1"/>
      </w:pPr>
      <w:r w:rsidRPr="00B320DA">
        <w:t>Úvodní ustanovení</w:t>
      </w:r>
    </w:p>
    <w:p w:rsidR="00B320DA" w:rsidP="00B320DA" w:rsidRDefault="00B320DA" w14:paraId="2BFA7F1C" w14:textId="05F560D6">
      <w:pPr>
        <w:pStyle w:val="walnut-Odstavec2"/>
      </w:pPr>
      <w:r w:rsidRPr="00B320DA">
        <w:t xml:space="preserve">Tuto smlouvu o realizaci projektu - </w:t>
      </w:r>
      <w:r w:rsidRPr="00364E35" w:rsidR="00364E35">
        <w:t>Školení pro rozvoj JS Communication s.r.o. a BP atelier architects s.r.o.</w:t>
      </w:r>
      <w:r w:rsidRPr="00B320DA">
        <w:t xml:space="preserve"> (dále jen „smlouva“) uzavřely</w:t>
      </w:r>
      <w:r>
        <w:t xml:space="preserve"> smluvní strany na základě úplného konsensu o níže uvedených ustanoveních, v souladu s příslušnými ustanoveními obecně závazných </w:t>
      </w:r>
      <w:r>
        <w:lastRenderedPageBreak/>
        <w:t>právních předpisů, a to zejména zák. č. 89/2012 Sb., občanský zákoník, ve znění pozdějších předpisů (dále jen „občanský zákoník“).</w:t>
      </w:r>
    </w:p>
    <w:p w:rsidRPr="00B320DA" w:rsidR="00B320DA" w:rsidP="00B320DA" w:rsidRDefault="00B320DA" w14:paraId="43EB1FCD" w14:textId="4D55E488">
      <w:pPr>
        <w:pStyle w:val="walnut-Odstavec1"/>
      </w:pPr>
      <w:r w:rsidRPr="00B320DA">
        <w:t>Předmět smlouvy</w:t>
      </w:r>
    </w:p>
    <w:p w:rsidR="00B320DA" w:rsidP="00B320DA" w:rsidRDefault="00B320DA" w14:paraId="2E2FD204" w14:textId="586549EA">
      <w:pPr>
        <w:pStyle w:val="walnut-Odstavec2"/>
      </w:pPr>
      <w:r>
        <w:t>Předmětem této smlouvy je závazek dodavatele, že pro objednatele zrealizuje zakázku „</w:t>
      </w:r>
      <w:r w:rsidRPr="00364E35" w:rsidR="00364E35">
        <w:t>Školení pro rozvoj JS Communication s.r.o. a BP atelier architects s.r.o.</w:t>
      </w:r>
      <w:r>
        <w:t>“ (dále jen „zakázka“ či „projekt“) v rozsahu stanoveném výzvou k podání nabídek (dále jen „výzva“) a nabídkou dodavatele na realizaci projektu (dále jen „nabídka“).</w:t>
      </w:r>
    </w:p>
    <w:p w:rsidR="00B320DA" w:rsidP="00B320DA" w:rsidRDefault="00B320DA" w14:paraId="7B98B56C" w14:textId="25BC9262">
      <w:pPr>
        <w:pStyle w:val="walnut-Odstavec2"/>
      </w:pPr>
      <w:r>
        <w:t>Dodavatel prohlašuje, že má odbornou způsobilost pro splnění předmětu této smlouvy, kterou doložil v nabídce. Odborná způsobilost musí být platná po celou dobu trvání zakázky.</w:t>
      </w:r>
    </w:p>
    <w:p w:rsidR="00B320DA" w:rsidP="00B320DA" w:rsidRDefault="00B320DA" w14:paraId="1B951D52" w14:textId="15929517">
      <w:pPr>
        <w:pStyle w:val="walnut-Odstavec2"/>
      </w:pPr>
      <w:r>
        <w:t xml:space="preserve">Nedílnou součástí této smlouvy </w:t>
      </w:r>
      <w:r w:rsidR="001B357F">
        <w:t>je kompletní výzva (příloha č. 1</w:t>
      </w:r>
      <w:r>
        <w:t xml:space="preserve">) a </w:t>
      </w:r>
      <w:r w:rsidR="003C039C">
        <w:t>s</w:t>
      </w:r>
      <w:bookmarkStart w:name="_GoBack" w:id="0"/>
      <w:bookmarkEnd w:id="0"/>
      <w:r w:rsidRPr="003C039C" w:rsidR="003C039C">
        <w:t xml:space="preserve">pecifikace předmětu plnění </w:t>
      </w:r>
      <w:r w:rsidR="001B357F">
        <w:t>(příloha č. 2</w:t>
      </w:r>
      <w:r>
        <w:t>), které blíže definují obsah smlouvy v těch otázkách, které nejsou smlouvou výslovně upraveny.</w:t>
      </w:r>
    </w:p>
    <w:p w:rsidRPr="00B320DA" w:rsidR="00B320DA" w:rsidP="00B320DA" w:rsidRDefault="00B320DA" w14:paraId="429280A5" w14:textId="4FFFB6B9">
      <w:pPr>
        <w:pStyle w:val="walnut-Odstavec1"/>
      </w:pPr>
      <w:r w:rsidRPr="00B320DA">
        <w:t>Předmět plnění</w:t>
      </w:r>
    </w:p>
    <w:p w:rsidR="00B320DA" w:rsidP="00B320DA" w:rsidRDefault="00B320DA" w14:paraId="095E1A14" w14:textId="6F3D86ED">
      <w:pPr>
        <w:pStyle w:val="walnut-Odstavec2"/>
      </w:pPr>
      <w:r>
        <w:t>Dodavatel se za podmínek uvedených ve smlouvě a jejích přílohách zavazuje zejména k plnění aktivit, k</w:t>
      </w:r>
      <w:r w:rsidR="00E21E28">
        <w:t>teré jsou popsány v příloze č. 2</w:t>
      </w:r>
      <w:r>
        <w:t xml:space="preserve"> této smlouvy a to:</w:t>
      </w:r>
    </w:p>
    <w:p w:rsidR="00B320DA" w:rsidP="00B320DA" w:rsidRDefault="00B320DA" w14:paraId="7A1B2676" w14:textId="71D5B888">
      <w:pPr>
        <w:pStyle w:val="walnut-Odstavec2"/>
      </w:pPr>
      <w:r>
        <w:t>Předmět zakázky je zvýšit odbornou úroveň znalostí, dovedností a kompetencí pracovníků zajištěním vzdělávacích kurzů v oblastech: Měkké a manažerské dovednosti</w:t>
      </w:r>
      <w:r w:rsidR="002C1964">
        <w:t>.</w:t>
      </w:r>
    </w:p>
    <w:p w:rsidR="00B320DA" w:rsidP="00B320DA" w:rsidRDefault="00B320DA" w14:paraId="7E9F7BB8" w14:textId="78744114">
      <w:pPr>
        <w:pStyle w:val="walnut-Odstavec2"/>
      </w:pPr>
      <w:r>
        <w:t xml:space="preserve">Součástí nabídkové ceny jsou veškeré náklady účastníka výběrového řízení (dále jen „účastník“) spojené se zajištěním předmětu plnění, zejména odměna lektora, cestovné lektora, stravné lektora a ubytování lektora, školící pomůcky, prezentační technika (dataprojektor, </w:t>
      </w:r>
      <w:r w:rsidRPr="00B17818">
        <w:rPr>
          <w:lang w:val="en-GB"/>
        </w:rPr>
        <w:t>flipchart</w:t>
      </w:r>
      <w:r>
        <w:t>) materiály apod. Součástí nabídkové ceny není občerstvení pro školené osoby.</w:t>
      </w:r>
    </w:p>
    <w:p w:rsidR="00B320DA" w:rsidP="00B320DA" w:rsidRDefault="00B320DA" w14:paraId="475A2F9D" w14:textId="1EF18C96">
      <w:pPr>
        <w:pStyle w:val="walnut-Odstavec2"/>
      </w:pPr>
      <w:r>
        <w:t>Dodavatel poskytne účastníkům školení v potřebném počtu pro každý kurz výukové podpůrné materiály</w:t>
      </w:r>
    </w:p>
    <w:p w:rsidR="00B320DA" w:rsidP="00B320DA" w:rsidRDefault="00B320DA" w14:paraId="69E177EB" w14:textId="33AB14C2">
      <w:pPr>
        <w:pStyle w:val="walnut-Odstavec2"/>
      </w:pPr>
      <w:r>
        <w:t>U kurzů budou dodrženy počty hodin výuky uvedené u jednotlivých kurzů</w:t>
      </w:r>
    </w:p>
    <w:p w:rsidR="00B320DA" w:rsidP="00B320DA" w:rsidRDefault="00B320DA" w14:paraId="09C26311" w14:textId="45482E25">
      <w:pPr>
        <w:pStyle w:val="walnut-Odstavec2"/>
      </w:pPr>
      <w:r>
        <w:t>Součástí plnění je dodání dokumentace ke vzdělání, a to prezenčních listin, záznamů o školení a vydání certifikátu o úspěšném absolvování kurzu, u technických a odborných kurzů osvědčení podle vyhlášky č. 50/1978 Sb. Českého úřadu bezpečnosti práce a Českého báňského úřadu o odborné způsobilosti v elektrotechnice.</w:t>
      </w:r>
    </w:p>
    <w:p w:rsidR="00B320DA" w:rsidP="00B320DA" w:rsidRDefault="00B320DA" w14:paraId="015F3DD9" w14:textId="7D1F08D8">
      <w:pPr>
        <w:pStyle w:val="walnut-Odstavec2"/>
      </w:pPr>
      <w:r>
        <w:t>Výukové hodiny jsou v délce 60min. u všech plánovaných kurzů</w:t>
      </w:r>
    </w:p>
    <w:p w:rsidR="00B320DA" w:rsidP="00B320DA" w:rsidRDefault="00B320DA" w14:paraId="3DD469ED" w14:textId="4F17303C">
      <w:pPr>
        <w:pStyle w:val="walnut-Odstavec2"/>
      </w:pPr>
      <w:r>
        <w:t>Školící den je v délce 8 hodin školení, bez přestávek.</w:t>
      </w:r>
      <w:r w:rsidR="00E21E28">
        <w:t xml:space="preserve"> Výjimkou je kurz koučink, </w:t>
      </w:r>
      <w:r w:rsidR="00AA4949">
        <w:t>ve kterém bude</w:t>
      </w:r>
      <w:r w:rsidR="00E21E28">
        <w:t> </w:t>
      </w:r>
      <w:r w:rsidR="00AA4949">
        <w:t>školící</w:t>
      </w:r>
      <w:r w:rsidR="00E21E28">
        <w:t xml:space="preserve"> </w:t>
      </w:r>
      <w:r w:rsidR="00AA4949">
        <w:t>d</w:t>
      </w:r>
      <w:r w:rsidR="00E21E28">
        <w:t>e</w:t>
      </w:r>
      <w:r w:rsidR="00AA4949">
        <w:t>n v délce</w:t>
      </w:r>
      <w:r w:rsidR="00E21E28">
        <w:t xml:space="preserve"> 9 hodin školení, bez přestávek</w:t>
      </w:r>
      <w:r>
        <w:t xml:space="preserve"> Přestávky účastník navrhne nad výše uvedený rozsah a to v min. počtu 2, včetně pauzy na oběd.</w:t>
      </w:r>
    </w:p>
    <w:p w:rsidR="00B320DA" w:rsidP="00B320DA" w:rsidRDefault="00B320DA" w14:paraId="18F07681" w14:textId="390D3998">
      <w:pPr>
        <w:pStyle w:val="walnut-Odstavec2"/>
      </w:pPr>
      <w:r>
        <w:t>Maximální poč</w:t>
      </w:r>
      <w:r w:rsidR="00AA4949">
        <w:t>et osob ve skupině u kurzů je 12</w:t>
      </w:r>
      <w:r>
        <w:t>.</w:t>
      </w:r>
    </w:p>
    <w:p w:rsidR="00B320DA" w:rsidP="00B320DA" w:rsidRDefault="00B320DA" w14:paraId="5BFEE3CA" w14:textId="461BF220">
      <w:pPr>
        <w:pStyle w:val="walnut-Odstavec2"/>
      </w:pPr>
      <w:r>
        <w:t>Plnění této zakázky musí být zajištěno dostatečným počtem kvalifikovaných a specializovaných osob, přičemž dodavatel je povinen vždy zajistit aby činnost vyžadující určitou kvalifikaci či specializaci byla vykonávána vždy takovými fyzickými osobami, které kvalifikaci či specializaci mají. Zadavatel je oprávněn si danou skutečnost na místě ověřit a dodavatel je povinen v takovém případě poskytnout účinnou součinnost.</w:t>
      </w:r>
    </w:p>
    <w:p w:rsidR="00B320DA" w:rsidP="00B320DA" w:rsidRDefault="00B320DA" w14:paraId="5C75ADAC" w14:textId="392497B5">
      <w:pPr>
        <w:pStyle w:val="walnut-Odstavec2"/>
      </w:pPr>
      <w:r>
        <w:t>Jednotlivé aktivity budou prováděny dle harmonogramu plnění, do 14 dnů od doručení požadavku zadavatele.</w:t>
      </w:r>
    </w:p>
    <w:p w:rsidR="00B320DA" w:rsidP="00B320DA" w:rsidRDefault="00B320DA" w14:paraId="299491E7" w14:textId="4BDCCBAD">
      <w:pPr>
        <w:pStyle w:val="walnut-Odstavec2"/>
      </w:pPr>
      <w:r>
        <w:t>Požadovaná specifikace jednotlivých kurzů je uvedena v Detailní vymezení předmětu zakázky.</w:t>
      </w:r>
    </w:p>
    <w:p w:rsidRPr="00B320DA" w:rsidR="00B320DA" w:rsidP="00B320DA" w:rsidRDefault="00B320DA" w14:paraId="43AE0C68" w14:textId="707E8C47">
      <w:pPr>
        <w:pStyle w:val="walnut-Odstavec1"/>
      </w:pPr>
      <w:r w:rsidRPr="00B320DA">
        <w:t>Práva a povinnosti objednatele</w:t>
      </w:r>
    </w:p>
    <w:p w:rsidR="00B320DA" w:rsidP="00B320DA" w:rsidRDefault="00B320DA" w14:paraId="071EC22F" w14:textId="41D8773B">
      <w:pPr>
        <w:pStyle w:val="walnut-Odstavec2"/>
      </w:pPr>
      <w:r>
        <w:lastRenderedPageBreak/>
        <w:t xml:space="preserve">Objednatel je povinen poskytovat dodavateli po celou dobu realizace projektu řádnou a včasnou informační a odbornou podporu nezbytnou k řádnému a včasnému provedení předmětu plnění. </w:t>
      </w:r>
    </w:p>
    <w:p w:rsidR="00B320DA" w:rsidP="00B320DA" w:rsidRDefault="00B320DA" w14:paraId="420C34BB" w14:textId="2862DA97">
      <w:pPr>
        <w:pStyle w:val="walnut-Odstavec2"/>
      </w:pPr>
      <w:r>
        <w:t xml:space="preserve">Objednatel je povinen dodavateli hradit za plnění předmětu této smlouvy sjednanou cenu (viz čl. 8) za podmínek sjednaných v čl. 10 této smlouvy. </w:t>
      </w:r>
    </w:p>
    <w:p w:rsidR="00B320DA" w:rsidP="00B320DA" w:rsidRDefault="00B320DA" w14:paraId="694FB17D" w14:textId="7368A99F">
      <w:pPr>
        <w:pStyle w:val="walnut-Odstavec2"/>
      </w:pPr>
      <w:r>
        <w:t>Objednatel je oprávněn měnit pořadí jednotlivých vzdělávacích aktivit. V případě změny pořadí jednotlivých vzdělávacích aktivit se objednatel zavazuje tuto skutečnost dodavateli oznámit minimálně 14 dní předem.</w:t>
      </w:r>
    </w:p>
    <w:p w:rsidR="00B320DA" w:rsidP="00B320DA" w:rsidRDefault="00B320DA" w14:paraId="3158F429" w14:textId="640A9930">
      <w:pPr>
        <w:pStyle w:val="walnut-Odstavec2"/>
      </w:pPr>
      <w:r>
        <w:t>Objednatel může jednostranně snížit rozsah dohodnutého plnění v závislosti na vývoji projektu OPZ a potřebách objednatele. V takovém případě zaplatí objednatel dodavateli pouze za skutečně odebrané plnění.</w:t>
      </w:r>
    </w:p>
    <w:p w:rsidR="00B320DA" w:rsidP="00B320DA" w:rsidRDefault="00B320DA" w14:paraId="3C9B8403" w14:textId="05A3B2A3">
      <w:pPr>
        <w:pStyle w:val="walnut-Odstavec2"/>
      </w:pPr>
      <w:r>
        <w:t>Objednatel je oprávněn pozastavit financování v případě, že dodavatel bezdůvodně přeruší realizaci kurzů nebo provádí kurzy v rozporu s touto smlouvou nebo pokyny objednatele.</w:t>
      </w:r>
    </w:p>
    <w:p w:rsidR="00B320DA" w:rsidP="00B320DA" w:rsidRDefault="00B320DA" w14:paraId="35244CFE" w14:textId="7408D5C7">
      <w:pPr>
        <w:pStyle w:val="walnut-Odstavec2"/>
      </w:pPr>
      <w:r>
        <w:t>Objednatel má právo kontrolovat řádné plnění smlouvy ze strany dodavatele. Při kontrole se smluvní strany budou řídit zákonem č. 552/1991 Sb., o státní kontrole, v platném znění a zákonem č. 320/2001 Sb., o finanční kontrole. Uvedená povinnost se vztahuje i na všechny poddodavatele, pomocí kterých dodavatel plní určitou část zakázky, nebo který poskytne dodavateli k plnění zakázky určité věci či práva a bude obsahem smlouvy uzavřené s dodavatelem.</w:t>
      </w:r>
    </w:p>
    <w:p w:rsidR="00B320DA" w:rsidP="00B320DA" w:rsidRDefault="00B320DA" w14:paraId="4CAA8750" w14:textId="11FE26D6">
      <w:pPr>
        <w:pStyle w:val="walnut-Odstavec1"/>
      </w:pPr>
      <w:r>
        <w:t>Práva a povinnosti dodavatele</w:t>
      </w:r>
    </w:p>
    <w:p w:rsidR="00B320DA" w:rsidP="00B320DA" w:rsidRDefault="00B320DA" w14:paraId="4515D623" w14:textId="5E2496D0">
      <w:pPr>
        <w:pStyle w:val="walnut-Odstavec2"/>
      </w:pPr>
      <w:r>
        <w:t>Dodavatel je povinen zrealizovat zakázku v souladu s touto smlouvou a jejími přílohami.</w:t>
      </w:r>
    </w:p>
    <w:p w:rsidR="00B320DA" w:rsidP="00B320DA" w:rsidRDefault="00B320DA" w14:paraId="71C4E0E4" w14:textId="3CBA96CF">
      <w:pPr>
        <w:pStyle w:val="walnut-Odstavec2"/>
      </w:pPr>
      <w:r>
        <w:t>Termíny školení se budou řídit dohodou smluvních stran, přičemž prioritní jsou potřeby objednatele-jednotlivé objednávky.</w:t>
      </w:r>
    </w:p>
    <w:p w:rsidR="00B320DA" w:rsidP="00B320DA" w:rsidRDefault="00B320DA" w14:paraId="28F4856A" w14:textId="5D385698">
      <w:pPr>
        <w:pStyle w:val="walnut-Odstavec2"/>
      </w:pPr>
      <w:r>
        <w:t>Dodavatel se zavazuje, že realizuje konkrétní kurz dle požadavku objednatele do 14 dnů od doručení tohoto písemného požadavku kontaktní osobě dle ust. čl. 14 odst. 14.5 této smlouvy. Zpráva zasílaná elektronickou poštou se má za doručenou pouze v případě potvrzení jejího přijetí ze strany adresáta odeslaného elektronickou poštou, a to okamžikem doručení tohoto potvrzení.</w:t>
      </w:r>
    </w:p>
    <w:p w:rsidR="00B320DA" w:rsidP="00B320DA" w:rsidRDefault="00B320DA" w14:paraId="47AEED47" w14:textId="555EE56D">
      <w:pPr>
        <w:pStyle w:val="walnut-Odstavec2"/>
      </w:pPr>
      <w:r>
        <w:t>Plnění této zakázky musí být vždy zajištěno dostatečným počtem kvalifikovaných a specializovaných osob (specialistů), přičemž dodavatel je povinen vždy zajistit, aby činnost vyžadující určitou kvalifikaci či specializaci byla vykonávána vždy takovými osobami, které tuto kvalifikaci či specializaci mají. Konkrétní požadavky na specialisty jsou uvedeny v příloze č. 1 této smlouvy. V případě změny složení osob v realizačním týmu se dodavatel zavazuje tuto skutečnost objednateli oznámit minimálně 5 dní předem. Každá taková změna podléhá schválení objednatele.</w:t>
      </w:r>
    </w:p>
    <w:p w:rsidR="00B320DA" w:rsidP="00B320DA" w:rsidRDefault="00B320DA" w14:paraId="1CD1985C" w14:textId="34946921">
      <w:pPr>
        <w:pStyle w:val="walnut-Odstavec2"/>
      </w:pPr>
      <w:r>
        <w:t xml:space="preserve">Dodavatel je povinen sestavit realizační tým projektu, který zajistí kvalitní a odborný průběh realizace zakázky, a to v souladu s touto smlouvou a jejími přílohami. Dodavatel se zavazuje, že v případě potřeby rozšíří realizační tým, tedy počet osob, které jsou určeny k plnění zakázky, o další osoby na základě požadavku objednatele, a to na vlastní finanční náklady. </w:t>
      </w:r>
    </w:p>
    <w:p w:rsidR="00B320DA" w:rsidP="00B219D3" w:rsidRDefault="00B320DA" w14:paraId="2FCEB38D" w14:textId="73F462BD">
      <w:pPr>
        <w:pStyle w:val="walnut-Odstavec2"/>
        <w:numPr>
          <w:ilvl w:val="0"/>
          <w:numId w:val="0"/>
        </w:numPr>
        <w:ind w:left="680"/>
      </w:pPr>
      <w:r>
        <w:t>.</w:t>
      </w:r>
    </w:p>
    <w:p w:rsidR="00B320DA" w:rsidP="00B320DA" w:rsidRDefault="00B320DA" w14:paraId="27CAEF8E" w14:textId="44FEF021">
      <w:pPr>
        <w:pStyle w:val="walnut-Odstavec2"/>
      </w:pPr>
      <w:r>
        <w:t xml:space="preserve">Dodavatel je povinen dodržovat obecně závazné právní předpisy, které se vztahují k plnění předmětu této smlouvy, zejména pak se zavazuje používat údaje o účastnících projektu vždy v souladu se zákonem č. 101/2000 Sb., o ochraně osobních údajů, v platném znění. </w:t>
      </w:r>
    </w:p>
    <w:p w:rsidR="00B320DA" w:rsidP="00B320DA" w:rsidRDefault="00B320DA" w14:paraId="2F54F16E" w14:textId="034EF550">
      <w:pPr>
        <w:pStyle w:val="walnut-Odstavec2"/>
      </w:pPr>
      <w:r>
        <w:lastRenderedPageBreak/>
        <w:t xml:space="preserve">Dodavatel je povinen po celou dobu trvání zakázky vlastnit potřebný doklad osvědčující odbornou způsobilost dodavatele nebo osoby, jejímž prostřednictvím odbornou způsobilost zabezpečuje. </w:t>
      </w:r>
    </w:p>
    <w:p w:rsidR="00B320DA" w:rsidP="00B320DA" w:rsidRDefault="00B320DA" w14:paraId="68BED071" w14:textId="0725B0F1">
      <w:pPr>
        <w:pStyle w:val="walnut-Odstavec2"/>
      </w:pPr>
      <w:r>
        <w:t>Dodavatel je povinen bezodkladně informovat objednatele o okolnostech, které mohou mít vliv na úspěšnou realizaci zakázky.</w:t>
      </w:r>
    </w:p>
    <w:p w:rsidR="00B320DA" w:rsidP="00B320DA" w:rsidRDefault="00B320DA" w14:paraId="7B4F63D3" w14:textId="4C01CDD7">
      <w:pPr>
        <w:pStyle w:val="walnut-Odstavec2"/>
      </w:pPr>
      <w:r>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1. roku následujícího po ukončení realizace projektu.</w:t>
      </w:r>
    </w:p>
    <w:p w:rsidR="00B320DA" w:rsidP="00B320DA" w:rsidRDefault="00B320DA" w14:paraId="2FB5A19F" w14:textId="226B1DF6">
      <w:pPr>
        <w:pStyle w:val="walnut-Odstavec2"/>
      </w:pPr>
      <w:r>
        <w:t>Dodavatel je povinen při plnění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B320DA" w:rsidP="00B320DA" w:rsidRDefault="00B320DA" w14:paraId="66060FED" w14:textId="026926BC">
      <w:pPr>
        <w:pStyle w:val="walnut-Odstavec2"/>
      </w:pPr>
      <w:r>
        <w:t>Dodavatel se zavazuje zajistit publicitu projektu v rozsahu a způsobem stanoveným ve výzvě.</w:t>
      </w:r>
    </w:p>
    <w:p w:rsidR="00B320DA" w:rsidP="00B320DA" w:rsidRDefault="00B320DA" w14:paraId="119DD5A9" w14:textId="16FFAEE6">
      <w:pPr>
        <w:pStyle w:val="walnut-Odstavec2"/>
      </w:pPr>
      <w:r>
        <w:t>Dodavatel je povinen řídit se při realizaci zakázky platnou legislativou a dalšími dokumenty souvisejícími s plněním zakázky. Pokud porušením těchto předpisů vznikne škoda, nese dodavatel veškeré vzniklé náklady.</w:t>
      </w:r>
    </w:p>
    <w:p w:rsidR="00B320DA" w:rsidP="00B320DA" w:rsidRDefault="00B320DA" w14:paraId="6F1A70B6" w14:textId="69E574A9">
      <w:pPr>
        <w:pStyle w:val="walnut-Odstavec2"/>
      </w:pPr>
      <w:r>
        <w:t>Dodavatel se zavazuje zajistit, aby v případě, že využije při realizaci projektu poddodavatele uvedeného v nabídce, tento postupoval při poskytování služeb v souladu s touto smlouvou, jejími přílohami a platnou legislativou ČR a EU. Poddodavatel však není oprávněn vstupovat do přímých vztahů s objednatelem, zejména mu přímo poskytovat jakékoliv plnění.</w:t>
      </w:r>
    </w:p>
    <w:p w:rsidR="00B320DA" w:rsidP="00B320DA" w:rsidRDefault="00B320DA" w14:paraId="6462D86C" w14:textId="400B7BCE">
      <w:pPr>
        <w:pStyle w:val="walnut-Odstavec1"/>
      </w:pPr>
      <w:r>
        <w:t>Doba plnění</w:t>
      </w:r>
    </w:p>
    <w:p w:rsidR="00B320DA" w:rsidP="00B320DA" w:rsidRDefault="00B320DA" w14:paraId="3F158D10" w14:textId="13997251">
      <w:pPr>
        <w:pStyle w:val="walnut-Odstavec2"/>
      </w:pPr>
      <w:r>
        <w:t>Dodavatel se zavazuje dodržet harmonogram plnění, za podmínek a v rozsahu uvedených ve smlouvě a jejích přílohách.</w:t>
      </w:r>
    </w:p>
    <w:p w:rsidR="00B320DA" w:rsidP="00B320DA" w:rsidRDefault="00B320DA" w14:paraId="38D172E2" w14:textId="00C35729">
      <w:pPr>
        <w:pStyle w:val="walnut-Odstavec1"/>
      </w:pPr>
      <w:r>
        <w:t>Místo plnění</w:t>
      </w:r>
    </w:p>
    <w:p w:rsidR="00B320DA" w:rsidP="00B320DA" w:rsidRDefault="00B320DA" w14:paraId="56311A4C" w14:textId="5BB82324">
      <w:pPr>
        <w:pStyle w:val="walnut-Odstavec2"/>
      </w:pPr>
      <w:r>
        <w:t xml:space="preserve">Místem plnění předmětu zakázky je </w:t>
      </w:r>
      <w:r w:rsidR="00B219D3">
        <w:t>sídlo společnosti Hlavní 784, Albrechtice u Českého Těšína 735 43.</w:t>
      </w:r>
    </w:p>
    <w:p w:rsidR="00B320DA" w:rsidP="00B320DA" w:rsidRDefault="00B320DA" w14:paraId="34CAB96A" w14:textId="7516E6C5">
      <w:pPr>
        <w:pStyle w:val="walnut-Odstavec2"/>
      </w:pPr>
      <w:r>
        <w:t xml:space="preserve">Objednatel si vyhrazuje právo pro změnu místa plnění. V případě, že plnění bude probíhat na jiné adrese v České republice, než které jsou uvedeny v odst. 7.1 tohoto článku, bude změna oznámena dodavateli alespoň 10 pracovních dnů předem. </w:t>
      </w:r>
    </w:p>
    <w:p w:rsidR="00B320DA" w:rsidP="00B320DA" w:rsidRDefault="00B320DA" w14:paraId="52C44FFC" w14:textId="68217CE5">
      <w:pPr>
        <w:pStyle w:val="walnut-Odstavec1"/>
      </w:pPr>
      <w:r>
        <w:t>Cena</w:t>
      </w:r>
    </w:p>
    <w:p w:rsidR="00B320DA" w:rsidP="00B320DA" w:rsidRDefault="00B320DA" w14:paraId="157DFB34" w14:textId="77777777">
      <w:pPr>
        <w:pStyle w:val="walnut-Odstavec2"/>
      </w:pPr>
      <w:r>
        <w:t xml:space="preserve">Objednatel se zavazuje zaplatit dodavateli za realizaci předmětu této smlouvy částku ve výši max. „DOPLNIT“ Kč bez DPH. Cena zahrnuje veškeré náklady nutné a uznatelné k realizaci předmětu této smlouvy. </w:t>
      </w:r>
    </w:p>
    <w:p w:rsidRPr="00D071A5" w:rsidR="00D071A5" w:rsidP="00D071A5" w:rsidRDefault="00D071A5" w14:paraId="6F50B4F8" w14:textId="77777777">
      <w:pPr>
        <w:pStyle w:val="walnut-Odstavec2"/>
      </w:pPr>
      <w:r w:rsidRPr="00D071A5">
        <w:lastRenderedPageBreak/>
        <w:t xml:space="preserve">K cenám bez DPH bude připočteno DPH v zákonné výši. </w:t>
      </w:r>
    </w:p>
    <w:p w:rsidR="00B320DA" w:rsidP="00B320DA" w:rsidRDefault="00B320DA" w14:paraId="3BF29042" w14:textId="3525824B">
      <w:pPr>
        <w:pStyle w:val="walnut-Odstavec2"/>
      </w:pPr>
      <w:r>
        <w:t>Níže uvedené ceny jsou závazné pro účely fakturace:</w:t>
      </w:r>
    </w:p>
    <w:tbl>
      <w:tblPr>
        <w:tblStyle w:val="Mkatabulky"/>
        <w:tblpPr w:leftFromText="141" w:rightFromText="141" w:vertAnchor="text" w:horzAnchor="page" w:tblpX="1206" w:tblpY="-641"/>
        <w:tblW w:w="10314" w:type="dxa"/>
        <w:tblLayout w:type="fixed"/>
        <w:tblLook w:firstRow="1" w:lastRow="0" w:firstColumn="1" w:lastColumn="0" w:noHBand="0" w:noVBand="1" w:val="04A0"/>
      </w:tblPr>
      <w:tblGrid>
        <w:gridCol w:w="1702"/>
        <w:gridCol w:w="2268"/>
        <w:gridCol w:w="1134"/>
        <w:gridCol w:w="1418"/>
        <w:gridCol w:w="992"/>
        <w:gridCol w:w="1525"/>
        <w:gridCol w:w="1275"/>
      </w:tblGrid>
      <w:tr w:rsidRPr="007C3363" w:rsidR="00AA6E85" w:rsidTr="00902CBA" w14:paraId="4F52711A" w14:textId="77777777">
        <w:trPr>
          <w:trHeight w:val="1332"/>
        </w:trPr>
        <w:tc>
          <w:tcPr>
            <w:tcW w:w="1702" w:type="dxa"/>
            <w:shd w:val="clear" w:color="auto" w:fill="A8D08D" w:themeFill="accent6" w:themeFillTint="99"/>
            <w:vAlign w:val="center"/>
          </w:tcPr>
          <w:p w:rsidRPr="00751F3A" w:rsidR="00AA6E85" w:rsidP="00902CBA" w:rsidRDefault="00AA6E85" w14:paraId="751BBDA3" w14:textId="77777777">
            <w:pPr>
              <w:jc w:val="center"/>
              <w:rPr>
                <w:b/>
                <w:bCs/>
              </w:rPr>
            </w:pPr>
            <w:r w:rsidRPr="00751F3A">
              <w:rPr>
                <w:b/>
                <w:bCs/>
              </w:rPr>
              <w:t>OBLAST</w:t>
            </w:r>
          </w:p>
        </w:tc>
        <w:tc>
          <w:tcPr>
            <w:tcW w:w="2268" w:type="dxa"/>
            <w:shd w:val="clear" w:color="auto" w:fill="A8D08D" w:themeFill="accent6" w:themeFillTint="99"/>
            <w:noWrap/>
            <w:vAlign w:val="center"/>
            <w:hideMark/>
          </w:tcPr>
          <w:p w:rsidRPr="007C3363" w:rsidR="00AA6E85" w:rsidP="00902CBA" w:rsidRDefault="00AA6E85" w14:paraId="444707F5" w14:textId="77777777">
            <w:pPr>
              <w:rPr>
                <w:b/>
                <w:bCs/>
              </w:rPr>
            </w:pPr>
            <w:r w:rsidRPr="007C3363">
              <w:rPr>
                <w:b/>
                <w:bCs/>
              </w:rPr>
              <w:t>NÁZEV KURZU</w:t>
            </w:r>
          </w:p>
        </w:tc>
        <w:tc>
          <w:tcPr>
            <w:tcW w:w="1134" w:type="dxa"/>
            <w:shd w:val="clear" w:color="auto" w:fill="A8D08D" w:themeFill="accent6" w:themeFillTint="99"/>
            <w:noWrap/>
            <w:vAlign w:val="center"/>
            <w:hideMark/>
          </w:tcPr>
          <w:p w:rsidRPr="007C3363" w:rsidR="00AA6E85" w:rsidP="00902CBA" w:rsidRDefault="00AA6E85" w14:paraId="740911A6" w14:textId="77777777">
            <w:pPr>
              <w:rPr>
                <w:b/>
                <w:bCs/>
              </w:rPr>
            </w:pPr>
            <w:r w:rsidRPr="007C3363">
              <w:rPr>
                <w:b/>
                <w:bCs/>
              </w:rPr>
              <w:t>DÉLKA</w:t>
            </w:r>
            <w:r>
              <w:rPr>
                <w:b/>
                <w:bCs/>
              </w:rPr>
              <w:t xml:space="preserve"> (hodin)</w:t>
            </w:r>
          </w:p>
        </w:tc>
        <w:tc>
          <w:tcPr>
            <w:tcW w:w="1418" w:type="dxa"/>
            <w:shd w:val="clear" w:color="auto" w:fill="A8D08D" w:themeFill="accent6" w:themeFillTint="99"/>
            <w:vAlign w:val="center"/>
            <w:hideMark/>
          </w:tcPr>
          <w:p w:rsidRPr="007C3363" w:rsidR="00AA6E85" w:rsidP="00902CBA" w:rsidRDefault="00AA6E85" w14:paraId="1AF710BB" w14:textId="4B5A0305">
            <w:pPr>
              <w:rPr>
                <w:b/>
                <w:bCs/>
              </w:rPr>
            </w:pPr>
            <w:r w:rsidRPr="007C3363">
              <w:rPr>
                <w:b/>
                <w:bCs/>
              </w:rPr>
              <w:t>POČET ÚČASTNÍKŮ</w:t>
            </w:r>
            <w:r w:rsidR="00980C92">
              <w:rPr>
                <w:b/>
                <w:bCs/>
              </w:rPr>
              <w:t xml:space="preserve"> VE SKUPINĚ</w:t>
            </w:r>
          </w:p>
        </w:tc>
        <w:tc>
          <w:tcPr>
            <w:tcW w:w="992" w:type="dxa"/>
            <w:shd w:val="clear" w:color="auto" w:fill="A8D08D" w:themeFill="accent6" w:themeFillTint="99"/>
            <w:vAlign w:val="center"/>
            <w:hideMark/>
          </w:tcPr>
          <w:p w:rsidRPr="007C3363" w:rsidR="00AA6E85" w:rsidP="00902CBA" w:rsidRDefault="00AA6E85" w14:paraId="1349A07E" w14:textId="77777777">
            <w:pPr>
              <w:rPr>
                <w:b/>
                <w:bCs/>
              </w:rPr>
            </w:pPr>
            <w:r w:rsidRPr="007C3363">
              <w:rPr>
                <w:b/>
                <w:bCs/>
              </w:rPr>
              <w:t xml:space="preserve">POČET </w:t>
            </w:r>
            <w:r w:rsidRPr="001D7325">
              <w:rPr>
                <w:b/>
                <w:bCs/>
              </w:rPr>
              <w:t>SKUPIN</w:t>
            </w:r>
          </w:p>
        </w:tc>
        <w:tc>
          <w:tcPr>
            <w:tcW w:w="1525" w:type="dxa"/>
            <w:shd w:val="clear" w:color="auto" w:fill="A8D08D" w:themeFill="accent6" w:themeFillTint="99"/>
            <w:vAlign w:val="center"/>
          </w:tcPr>
          <w:p w:rsidRPr="007C3363" w:rsidR="00AA6E85" w:rsidP="00902CBA" w:rsidRDefault="00AA6E85" w14:paraId="0A9EAAFD" w14:textId="77777777">
            <w:pPr>
              <w:rPr>
                <w:b/>
                <w:bCs/>
              </w:rPr>
            </w:pPr>
            <w:r>
              <w:rPr>
                <w:b/>
                <w:bCs/>
              </w:rPr>
              <w:t>POČET ŠKOLÍCÍCH DNÍ CELKEM</w:t>
            </w:r>
          </w:p>
        </w:tc>
        <w:tc>
          <w:tcPr>
            <w:tcW w:w="1275" w:type="dxa"/>
            <w:shd w:val="clear" w:color="auto" w:fill="A8D08D" w:themeFill="accent6" w:themeFillTint="99"/>
            <w:vAlign w:val="center"/>
          </w:tcPr>
          <w:p w:rsidRPr="007C3363" w:rsidR="00AA6E85" w:rsidP="00902CBA" w:rsidRDefault="00AA6E85" w14:paraId="04125BA5" w14:textId="77777777">
            <w:pPr>
              <w:rPr>
                <w:b/>
                <w:bCs/>
              </w:rPr>
            </w:pPr>
            <w:r>
              <w:rPr>
                <w:b/>
                <w:bCs/>
              </w:rPr>
              <w:t>CELKOVÁ CENA V KČ BEZ DPH</w:t>
            </w:r>
          </w:p>
        </w:tc>
      </w:tr>
      <w:tr w:rsidR="00902CBA" w:rsidTr="00902CBA" w14:paraId="399ABFFC" w14:textId="77777777">
        <w:trPr>
          <w:trHeight w:val="427"/>
        </w:trPr>
        <w:tc>
          <w:tcPr>
            <w:tcW w:w="1702" w:type="dxa"/>
            <w:vMerge w:val="restart"/>
            <w:vAlign w:val="center"/>
          </w:tcPr>
          <w:p w:rsidRPr="00751F3A" w:rsidR="00902CBA" w:rsidP="00902CBA" w:rsidRDefault="00902CBA" w14:paraId="5824DB43" w14:textId="77777777">
            <w:pPr>
              <w:jc w:val="center"/>
              <w:rPr>
                <w:b/>
              </w:rPr>
            </w:pPr>
            <w:r w:rsidRPr="00751F3A">
              <w:rPr>
                <w:b/>
              </w:rPr>
              <w:t>MĚKKÉ A MANAŽERSKÉ DOVEDNOSTI</w:t>
            </w:r>
          </w:p>
        </w:tc>
        <w:tc>
          <w:tcPr>
            <w:tcW w:w="2268" w:type="dxa"/>
            <w:noWrap/>
            <w:vAlign w:val="bottom"/>
            <w:hideMark/>
          </w:tcPr>
          <w:p w:rsidRPr="007C3363" w:rsidR="00902CBA" w:rsidP="00902CBA" w:rsidRDefault="00902CBA" w14:paraId="18FC7EDF" w14:textId="79299207">
            <w:r>
              <w:rPr>
                <w:rFonts w:ascii="Arial" w:hAnsi="Arial" w:cs="Arial"/>
                <w:color w:val="000000"/>
                <w:sz w:val="20"/>
                <w:szCs w:val="20"/>
              </w:rPr>
              <w:t>Projektové řízení </w:t>
            </w:r>
          </w:p>
        </w:tc>
        <w:tc>
          <w:tcPr>
            <w:tcW w:w="1134" w:type="dxa"/>
            <w:noWrap/>
            <w:vAlign w:val="center"/>
            <w:hideMark/>
          </w:tcPr>
          <w:p w:rsidRPr="007C3363" w:rsidR="00902CBA" w:rsidP="00902CBA" w:rsidRDefault="00902CBA" w14:paraId="299BE936" w14:textId="1426D85C">
            <w:r>
              <w:rPr>
                <w:color w:val="000000"/>
              </w:rPr>
              <w:t>24</w:t>
            </w:r>
          </w:p>
        </w:tc>
        <w:tc>
          <w:tcPr>
            <w:tcW w:w="1418" w:type="dxa"/>
            <w:noWrap/>
            <w:hideMark/>
          </w:tcPr>
          <w:p w:rsidRPr="007C3363" w:rsidR="00902CBA" w:rsidP="00902CBA" w:rsidRDefault="00902CBA" w14:paraId="5D4E78EF" w14:textId="04A43934">
            <w:r>
              <w:t>5</w:t>
            </w:r>
          </w:p>
        </w:tc>
        <w:tc>
          <w:tcPr>
            <w:tcW w:w="992" w:type="dxa"/>
            <w:noWrap/>
            <w:hideMark/>
          </w:tcPr>
          <w:p w:rsidRPr="004B3D98" w:rsidR="00902CBA" w:rsidP="00902CBA" w:rsidRDefault="00902CBA" w14:paraId="26824B22" w14:textId="4168B55D">
            <w:r>
              <w:t>1</w:t>
            </w:r>
          </w:p>
        </w:tc>
        <w:tc>
          <w:tcPr>
            <w:tcW w:w="1525" w:type="dxa"/>
          </w:tcPr>
          <w:p w:rsidRPr="004B3D98" w:rsidR="00902CBA" w:rsidP="00902CBA" w:rsidRDefault="00902CBA" w14:paraId="6F8916D0" w14:textId="155A8C1F">
            <w:r>
              <w:t>3</w:t>
            </w:r>
          </w:p>
        </w:tc>
        <w:tc>
          <w:tcPr>
            <w:tcW w:w="1275" w:type="dxa"/>
          </w:tcPr>
          <w:p w:rsidR="00902CBA" w:rsidP="00902CBA" w:rsidRDefault="00CE18A1" w14:paraId="793D23FE" w14:textId="143E1BB9">
            <w:r>
              <w:t>„</w:t>
            </w:r>
            <w:r w:rsidRPr="00E07EEE" w:rsidR="00902CBA">
              <w:t>Doplnit</w:t>
            </w:r>
            <w:r>
              <w:t>“</w:t>
            </w:r>
          </w:p>
        </w:tc>
      </w:tr>
      <w:tr w:rsidR="00CE18A1" w:rsidTr="00902CBA" w14:paraId="06D04B45" w14:textId="77777777">
        <w:trPr>
          <w:trHeight w:val="427"/>
        </w:trPr>
        <w:tc>
          <w:tcPr>
            <w:tcW w:w="1702" w:type="dxa"/>
            <w:vMerge/>
            <w:vAlign w:val="center"/>
          </w:tcPr>
          <w:p w:rsidRPr="00751F3A" w:rsidR="00CE18A1" w:rsidP="00CE18A1" w:rsidRDefault="00CE18A1" w14:paraId="00C3F201" w14:textId="77777777">
            <w:pPr>
              <w:jc w:val="center"/>
              <w:rPr>
                <w:b/>
              </w:rPr>
            </w:pPr>
          </w:p>
        </w:tc>
        <w:tc>
          <w:tcPr>
            <w:tcW w:w="2268" w:type="dxa"/>
            <w:noWrap/>
            <w:hideMark/>
          </w:tcPr>
          <w:p w:rsidRPr="007C3363" w:rsidR="00CE18A1" w:rsidP="00CE18A1" w:rsidRDefault="00CE18A1" w14:paraId="7827C077" w14:textId="434EA82B">
            <w:r>
              <w:rPr>
                <w:color w:val="000000"/>
              </w:rPr>
              <w:t>Hodnocení zaměstnanců</w:t>
            </w:r>
          </w:p>
        </w:tc>
        <w:tc>
          <w:tcPr>
            <w:tcW w:w="1134" w:type="dxa"/>
            <w:noWrap/>
            <w:vAlign w:val="center"/>
            <w:hideMark/>
          </w:tcPr>
          <w:p w:rsidRPr="007C3363" w:rsidR="00CE18A1" w:rsidP="00CE18A1" w:rsidRDefault="00CE18A1" w14:paraId="280F869A" w14:textId="09EEB013">
            <w:r>
              <w:rPr>
                <w:color w:val="000000"/>
              </w:rPr>
              <w:t>16</w:t>
            </w:r>
          </w:p>
        </w:tc>
        <w:tc>
          <w:tcPr>
            <w:tcW w:w="1418" w:type="dxa"/>
            <w:noWrap/>
            <w:hideMark/>
          </w:tcPr>
          <w:p w:rsidRPr="007C3363" w:rsidR="00CE18A1" w:rsidP="00CE18A1" w:rsidRDefault="00CE18A1" w14:paraId="76AB7A37" w14:textId="7CC0E9C8">
            <w:r>
              <w:t>5</w:t>
            </w:r>
          </w:p>
        </w:tc>
        <w:tc>
          <w:tcPr>
            <w:tcW w:w="992" w:type="dxa"/>
            <w:noWrap/>
            <w:hideMark/>
          </w:tcPr>
          <w:p w:rsidRPr="004B3D98" w:rsidR="00CE18A1" w:rsidP="00CE18A1" w:rsidRDefault="00CE18A1" w14:paraId="2B7C79A2" w14:textId="2239660A">
            <w:r>
              <w:t>1</w:t>
            </w:r>
          </w:p>
        </w:tc>
        <w:tc>
          <w:tcPr>
            <w:tcW w:w="1525" w:type="dxa"/>
          </w:tcPr>
          <w:p w:rsidRPr="004B3D98" w:rsidR="00CE18A1" w:rsidP="00CE18A1" w:rsidRDefault="00CE18A1" w14:paraId="6152F3D2" w14:textId="73A39720">
            <w:r>
              <w:t>2</w:t>
            </w:r>
          </w:p>
        </w:tc>
        <w:tc>
          <w:tcPr>
            <w:tcW w:w="1275" w:type="dxa"/>
          </w:tcPr>
          <w:p w:rsidR="00CE18A1" w:rsidP="00CE18A1" w:rsidRDefault="00CE18A1" w14:paraId="4660B36E" w14:textId="485C839A">
            <w:r>
              <w:t>„</w:t>
            </w:r>
            <w:r w:rsidRPr="00E07EEE">
              <w:t>Doplnit</w:t>
            </w:r>
            <w:r>
              <w:t>“</w:t>
            </w:r>
          </w:p>
        </w:tc>
      </w:tr>
      <w:tr w:rsidR="00CE18A1" w:rsidTr="00902CBA" w14:paraId="25C426EF" w14:textId="77777777">
        <w:trPr>
          <w:trHeight w:val="427"/>
        </w:trPr>
        <w:tc>
          <w:tcPr>
            <w:tcW w:w="1702" w:type="dxa"/>
            <w:vMerge/>
            <w:vAlign w:val="center"/>
          </w:tcPr>
          <w:p w:rsidRPr="00751F3A" w:rsidR="00CE18A1" w:rsidP="00CE18A1" w:rsidRDefault="00CE18A1" w14:paraId="7FE45467" w14:textId="77777777">
            <w:pPr>
              <w:jc w:val="center"/>
              <w:rPr>
                <w:b/>
              </w:rPr>
            </w:pPr>
          </w:p>
        </w:tc>
        <w:tc>
          <w:tcPr>
            <w:tcW w:w="2268" w:type="dxa"/>
            <w:noWrap/>
            <w:hideMark/>
          </w:tcPr>
          <w:p w:rsidRPr="007C3363" w:rsidR="00CE18A1" w:rsidP="00CE18A1" w:rsidRDefault="00CE18A1" w14:paraId="7586F86A" w14:textId="118841FB">
            <w:r>
              <w:rPr>
                <w:color w:val="000000"/>
              </w:rPr>
              <w:t>Jednání a vyjednávání</w:t>
            </w:r>
          </w:p>
        </w:tc>
        <w:tc>
          <w:tcPr>
            <w:tcW w:w="1134" w:type="dxa"/>
            <w:noWrap/>
            <w:vAlign w:val="center"/>
            <w:hideMark/>
          </w:tcPr>
          <w:p w:rsidRPr="007C3363" w:rsidR="00CE18A1" w:rsidP="00CE18A1" w:rsidRDefault="00CE18A1" w14:paraId="55F4E43B" w14:textId="14E6CFA2">
            <w:r>
              <w:rPr>
                <w:color w:val="000000"/>
              </w:rPr>
              <w:t>16</w:t>
            </w:r>
          </w:p>
        </w:tc>
        <w:tc>
          <w:tcPr>
            <w:tcW w:w="1418" w:type="dxa"/>
            <w:noWrap/>
            <w:hideMark/>
          </w:tcPr>
          <w:p w:rsidRPr="007C3363" w:rsidR="00CE18A1" w:rsidP="00CE18A1" w:rsidRDefault="00CE18A1" w14:paraId="2EE490AA" w14:textId="5A92B30B">
            <w:r>
              <w:t>5</w:t>
            </w:r>
          </w:p>
        </w:tc>
        <w:tc>
          <w:tcPr>
            <w:tcW w:w="992" w:type="dxa"/>
            <w:noWrap/>
            <w:hideMark/>
          </w:tcPr>
          <w:p w:rsidRPr="004B3D98" w:rsidR="00CE18A1" w:rsidP="00CE18A1" w:rsidRDefault="00CE18A1" w14:paraId="118E8C72" w14:textId="6749BCE4">
            <w:r>
              <w:t>1</w:t>
            </w:r>
          </w:p>
        </w:tc>
        <w:tc>
          <w:tcPr>
            <w:tcW w:w="1525" w:type="dxa"/>
          </w:tcPr>
          <w:p w:rsidRPr="004B3D98" w:rsidR="00CE18A1" w:rsidP="00CE18A1" w:rsidRDefault="00CE18A1" w14:paraId="24AEBE38" w14:textId="4CC0C6A5">
            <w:r>
              <w:t>2</w:t>
            </w:r>
          </w:p>
        </w:tc>
        <w:tc>
          <w:tcPr>
            <w:tcW w:w="1275" w:type="dxa"/>
          </w:tcPr>
          <w:p w:rsidR="00CE18A1" w:rsidP="00CE18A1" w:rsidRDefault="00CE18A1" w14:paraId="5EC424C9" w14:textId="2569D415">
            <w:r>
              <w:t>„</w:t>
            </w:r>
            <w:r w:rsidRPr="00E07EEE">
              <w:t>Doplnit</w:t>
            </w:r>
            <w:r>
              <w:t>“</w:t>
            </w:r>
          </w:p>
        </w:tc>
      </w:tr>
      <w:tr w:rsidR="00CE18A1" w:rsidTr="00902CBA" w14:paraId="1FCD97A2" w14:textId="77777777">
        <w:trPr>
          <w:trHeight w:val="427"/>
        </w:trPr>
        <w:tc>
          <w:tcPr>
            <w:tcW w:w="1702" w:type="dxa"/>
            <w:vMerge/>
            <w:vAlign w:val="center"/>
          </w:tcPr>
          <w:p w:rsidRPr="00751F3A" w:rsidR="00CE18A1" w:rsidP="00CE18A1" w:rsidRDefault="00CE18A1" w14:paraId="71167896" w14:textId="77777777">
            <w:pPr>
              <w:jc w:val="center"/>
              <w:rPr>
                <w:b/>
              </w:rPr>
            </w:pPr>
          </w:p>
        </w:tc>
        <w:tc>
          <w:tcPr>
            <w:tcW w:w="2268" w:type="dxa"/>
            <w:noWrap/>
            <w:vAlign w:val="bottom"/>
            <w:hideMark/>
          </w:tcPr>
          <w:p w:rsidRPr="007C3363" w:rsidR="00CE18A1" w:rsidP="00CE18A1" w:rsidRDefault="00CE18A1" w14:paraId="061D0390" w14:textId="5164859F">
            <w:r>
              <w:rPr>
                <w:rFonts w:ascii="Arial" w:hAnsi="Arial" w:cs="Arial"/>
                <w:color w:val="000000"/>
                <w:sz w:val="20"/>
                <w:szCs w:val="20"/>
              </w:rPr>
              <w:t>Koučink </w:t>
            </w:r>
          </w:p>
        </w:tc>
        <w:tc>
          <w:tcPr>
            <w:tcW w:w="1134" w:type="dxa"/>
            <w:noWrap/>
            <w:vAlign w:val="center"/>
            <w:hideMark/>
          </w:tcPr>
          <w:p w:rsidRPr="007C3363" w:rsidR="00CE18A1" w:rsidP="00CE18A1" w:rsidRDefault="00CE18A1" w14:paraId="221E6289" w14:textId="396FD5FE">
            <w:r>
              <w:rPr>
                <w:color w:val="000000"/>
              </w:rPr>
              <w:t>18</w:t>
            </w:r>
          </w:p>
        </w:tc>
        <w:tc>
          <w:tcPr>
            <w:tcW w:w="1418" w:type="dxa"/>
            <w:noWrap/>
            <w:hideMark/>
          </w:tcPr>
          <w:p w:rsidRPr="007C3363" w:rsidR="00CE18A1" w:rsidP="00CE18A1" w:rsidRDefault="00CE18A1" w14:paraId="02B6F698" w14:textId="55102C1A">
            <w:r>
              <w:t>1</w:t>
            </w:r>
          </w:p>
        </w:tc>
        <w:tc>
          <w:tcPr>
            <w:tcW w:w="992" w:type="dxa"/>
            <w:noWrap/>
            <w:hideMark/>
          </w:tcPr>
          <w:p w:rsidRPr="004B3D98" w:rsidR="00CE18A1" w:rsidP="00CE18A1" w:rsidRDefault="00CE18A1" w14:paraId="401ECA02" w14:textId="150587D1">
            <w:r>
              <w:t>5</w:t>
            </w:r>
          </w:p>
        </w:tc>
        <w:tc>
          <w:tcPr>
            <w:tcW w:w="1525" w:type="dxa"/>
          </w:tcPr>
          <w:p w:rsidRPr="004B3D98" w:rsidR="00CE18A1" w:rsidP="00CE18A1" w:rsidRDefault="00CE18A1" w14:paraId="78388FAF" w14:textId="5CFB7281">
            <w:r>
              <w:t>10</w:t>
            </w:r>
          </w:p>
        </w:tc>
        <w:tc>
          <w:tcPr>
            <w:tcW w:w="1275" w:type="dxa"/>
          </w:tcPr>
          <w:p w:rsidR="00CE18A1" w:rsidP="00CE18A1" w:rsidRDefault="00CE18A1" w14:paraId="2CED1F11" w14:textId="7C139365">
            <w:r>
              <w:t>„</w:t>
            </w:r>
            <w:r w:rsidRPr="00E07EEE">
              <w:t>Doplnit</w:t>
            </w:r>
            <w:r>
              <w:t>“</w:t>
            </w:r>
          </w:p>
        </w:tc>
      </w:tr>
      <w:tr w:rsidR="00CE18A1" w:rsidTr="00902CBA" w14:paraId="1F312ED9" w14:textId="77777777">
        <w:trPr>
          <w:trHeight w:val="427"/>
        </w:trPr>
        <w:tc>
          <w:tcPr>
            <w:tcW w:w="1702" w:type="dxa"/>
            <w:vMerge/>
            <w:vAlign w:val="center"/>
          </w:tcPr>
          <w:p w:rsidRPr="00751F3A" w:rsidR="00CE18A1" w:rsidP="00CE18A1" w:rsidRDefault="00CE18A1" w14:paraId="2D3EEE21" w14:textId="77777777">
            <w:pPr>
              <w:jc w:val="center"/>
              <w:rPr>
                <w:b/>
              </w:rPr>
            </w:pPr>
          </w:p>
        </w:tc>
        <w:tc>
          <w:tcPr>
            <w:tcW w:w="2268" w:type="dxa"/>
            <w:noWrap/>
            <w:hideMark/>
          </w:tcPr>
          <w:p w:rsidRPr="007C3363" w:rsidR="00CE18A1" w:rsidP="00CE18A1" w:rsidRDefault="00CE18A1" w14:paraId="62423E61" w14:textId="46331E39">
            <w:r>
              <w:rPr>
                <w:color w:val="000000"/>
              </w:rPr>
              <w:t>Management (řízení) změn</w:t>
            </w:r>
          </w:p>
        </w:tc>
        <w:tc>
          <w:tcPr>
            <w:tcW w:w="1134" w:type="dxa"/>
            <w:noWrap/>
            <w:vAlign w:val="center"/>
            <w:hideMark/>
          </w:tcPr>
          <w:p w:rsidRPr="007C3363" w:rsidR="00CE18A1" w:rsidP="00CE18A1" w:rsidRDefault="00CE18A1" w14:paraId="225FF9A3" w14:textId="1FFC61F8">
            <w:r>
              <w:rPr>
                <w:color w:val="000000"/>
              </w:rPr>
              <w:t>16</w:t>
            </w:r>
          </w:p>
        </w:tc>
        <w:tc>
          <w:tcPr>
            <w:tcW w:w="1418" w:type="dxa"/>
            <w:noWrap/>
            <w:hideMark/>
          </w:tcPr>
          <w:p w:rsidRPr="007C3363" w:rsidR="00CE18A1" w:rsidP="00CE18A1" w:rsidRDefault="00CE18A1" w14:paraId="56F8B95B" w14:textId="17856434">
            <w:r>
              <w:t>5</w:t>
            </w:r>
          </w:p>
        </w:tc>
        <w:tc>
          <w:tcPr>
            <w:tcW w:w="992" w:type="dxa"/>
            <w:noWrap/>
            <w:hideMark/>
          </w:tcPr>
          <w:p w:rsidRPr="004B3D98" w:rsidR="00CE18A1" w:rsidP="00CE18A1" w:rsidRDefault="00CE18A1" w14:paraId="1EEBBB6A" w14:textId="479973EB">
            <w:r>
              <w:t>1</w:t>
            </w:r>
          </w:p>
        </w:tc>
        <w:tc>
          <w:tcPr>
            <w:tcW w:w="1525" w:type="dxa"/>
          </w:tcPr>
          <w:p w:rsidRPr="004B3D98" w:rsidR="00CE18A1" w:rsidP="00CE18A1" w:rsidRDefault="00CE18A1" w14:paraId="5481A5CD" w14:textId="7AA2DFBF">
            <w:r w:rsidRPr="00C81202">
              <w:t>2</w:t>
            </w:r>
          </w:p>
        </w:tc>
        <w:tc>
          <w:tcPr>
            <w:tcW w:w="1275" w:type="dxa"/>
          </w:tcPr>
          <w:p w:rsidR="00CE18A1" w:rsidP="00CE18A1" w:rsidRDefault="00CE18A1" w14:paraId="0CC29094" w14:textId="2ACC6539">
            <w:r>
              <w:t>„</w:t>
            </w:r>
            <w:r w:rsidRPr="00E07EEE">
              <w:t>Doplnit</w:t>
            </w:r>
            <w:r>
              <w:t>“</w:t>
            </w:r>
          </w:p>
        </w:tc>
      </w:tr>
      <w:tr w:rsidR="00CE18A1" w:rsidTr="00902CBA" w14:paraId="25C4A317" w14:textId="77777777">
        <w:trPr>
          <w:trHeight w:val="453"/>
        </w:trPr>
        <w:tc>
          <w:tcPr>
            <w:tcW w:w="1702" w:type="dxa"/>
            <w:vMerge/>
            <w:vAlign w:val="center"/>
          </w:tcPr>
          <w:p w:rsidRPr="00751F3A" w:rsidR="00CE18A1" w:rsidP="00CE18A1" w:rsidRDefault="00CE18A1" w14:paraId="3CDEED56" w14:textId="77777777">
            <w:pPr>
              <w:jc w:val="center"/>
              <w:rPr>
                <w:b/>
              </w:rPr>
            </w:pPr>
          </w:p>
        </w:tc>
        <w:tc>
          <w:tcPr>
            <w:tcW w:w="2268" w:type="dxa"/>
            <w:noWrap/>
            <w:hideMark/>
          </w:tcPr>
          <w:p w:rsidRPr="007C3363" w:rsidR="00CE18A1" w:rsidP="00CE18A1" w:rsidRDefault="00CE18A1" w14:paraId="4F43C00D" w14:textId="5DA87BC7">
            <w:r>
              <w:rPr>
                <w:color w:val="000000"/>
              </w:rPr>
              <w:t>Motivace zaměstnanců</w:t>
            </w:r>
          </w:p>
        </w:tc>
        <w:tc>
          <w:tcPr>
            <w:tcW w:w="1134" w:type="dxa"/>
            <w:noWrap/>
            <w:vAlign w:val="center"/>
            <w:hideMark/>
          </w:tcPr>
          <w:p w:rsidRPr="007C3363" w:rsidR="00CE18A1" w:rsidP="00CE18A1" w:rsidRDefault="00CE18A1" w14:paraId="752B9B52" w14:textId="32AAE686">
            <w:r>
              <w:rPr>
                <w:color w:val="000000"/>
              </w:rPr>
              <w:t>16</w:t>
            </w:r>
          </w:p>
        </w:tc>
        <w:tc>
          <w:tcPr>
            <w:tcW w:w="1418" w:type="dxa"/>
            <w:noWrap/>
            <w:hideMark/>
          </w:tcPr>
          <w:p w:rsidRPr="007C3363" w:rsidR="00CE18A1" w:rsidP="00CE18A1" w:rsidRDefault="00CE18A1" w14:paraId="24F28882" w14:textId="3D6FFA10">
            <w:r>
              <w:t>5</w:t>
            </w:r>
          </w:p>
        </w:tc>
        <w:tc>
          <w:tcPr>
            <w:tcW w:w="992" w:type="dxa"/>
            <w:noWrap/>
            <w:hideMark/>
          </w:tcPr>
          <w:p w:rsidRPr="004B3D98" w:rsidR="00CE18A1" w:rsidP="00CE18A1" w:rsidRDefault="00CE18A1" w14:paraId="076BB67A" w14:textId="6B0EF153">
            <w:r>
              <w:t>1</w:t>
            </w:r>
          </w:p>
        </w:tc>
        <w:tc>
          <w:tcPr>
            <w:tcW w:w="1525" w:type="dxa"/>
          </w:tcPr>
          <w:p w:rsidRPr="004B3D98" w:rsidR="00CE18A1" w:rsidP="00CE18A1" w:rsidRDefault="00CE18A1" w14:paraId="4A44123A" w14:textId="100170F3">
            <w:r w:rsidRPr="00C81202">
              <w:t>2</w:t>
            </w:r>
          </w:p>
        </w:tc>
        <w:tc>
          <w:tcPr>
            <w:tcW w:w="1275" w:type="dxa"/>
          </w:tcPr>
          <w:p w:rsidR="00CE18A1" w:rsidP="00CE18A1" w:rsidRDefault="00CE18A1" w14:paraId="307C25D8" w14:textId="7730B70B">
            <w:r>
              <w:t>„</w:t>
            </w:r>
            <w:r w:rsidRPr="00E07EEE">
              <w:t>Doplnit</w:t>
            </w:r>
            <w:r>
              <w:t>“</w:t>
            </w:r>
          </w:p>
        </w:tc>
      </w:tr>
      <w:tr w:rsidR="00CE18A1" w:rsidTr="00902CBA" w14:paraId="24EC65E4" w14:textId="77777777">
        <w:trPr>
          <w:trHeight w:val="427"/>
        </w:trPr>
        <w:tc>
          <w:tcPr>
            <w:tcW w:w="1702" w:type="dxa"/>
            <w:vMerge/>
            <w:vAlign w:val="center"/>
          </w:tcPr>
          <w:p w:rsidRPr="00751F3A" w:rsidR="00CE18A1" w:rsidP="00CE18A1" w:rsidRDefault="00CE18A1" w14:paraId="03B1781C" w14:textId="77777777">
            <w:pPr>
              <w:jc w:val="center"/>
              <w:rPr>
                <w:b/>
              </w:rPr>
            </w:pPr>
          </w:p>
        </w:tc>
        <w:tc>
          <w:tcPr>
            <w:tcW w:w="2268" w:type="dxa"/>
            <w:noWrap/>
            <w:hideMark/>
          </w:tcPr>
          <w:p w:rsidRPr="007C3363" w:rsidR="00CE18A1" w:rsidP="00CE18A1" w:rsidRDefault="00CE18A1" w14:paraId="4A5979FA" w14:textId="02907DBD">
            <w:r>
              <w:rPr>
                <w:color w:val="000000"/>
              </w:rPr>
              <w:t>Obchodní dovednosti</w:t>
            </w:r>
          </w:p>
        </w:tc>
        <w:tc>
          <w:tcPr>
            <w:tcW w:w="1134" w:type="dxa"/>
            <w:noWrap/>
            <w:vAlign w:val="center"/>
            <w:hideMark/>
          </w:tcPr>
          <w:p w:rsidRPr="007C3363" w:rsidR="00CE18A1" w:rsidP="00CE18A1" w:rsidRDefault="00CE18A1" w14:paraId="65A94150" w14:textId="647C6D9C">
            <w:r>
              <w:rPr>
                <w:color w:val="000000"/>
              </w:rPr>
              <w:t>16</w:t>
            </w:r>
          </w:p>
        </w:tc>
        <w:tc>
          <w:tcPr>
            <w:tcW w:w="1418" w:type="dxa"/>
            <w:noWrap/>
            <w:hideMark/>
          </w:tcPr>
          <w:p w:rsidRPr="007C3363" w:rsidR="00CE18A1" w:rsidP="00CE18A1" w:rsidRDefault="00CE18A1" w14:paraId="293B7D92" w14:textId="341EB141">
            <w:r>
              <w:t>5</w:t>
            </w:r>
          </w:p>
        </w:tc>
        <w:tc>
          <w:tcPr>
            <w:tcW w:w="992" w:type="dxa"/>
            <w:noWrap/>
            <w:hideMark/>
          </w:tcPr>
          <w:p w:rsidRPr="004B3D98" w:rsidR="00CE18A1" w:rsidP="00CE18A1" w:rsidRDefault="00CE18A1" w14:paraId="6A4D05E8" w14:textId="1BA6CB97">
            <w:r>
              <w:t>1</w:t>
            </w:r>
          </w:p>
        </w:tc>
        <w:tc>
          <w:tcPr>
            <w:tcW w:w="1525" w:type="dxa"/>
          </w:tcPr>
          <w:p w:rsidRPr="004B3D98" w:rsidR="00CE18A1" w:rsidP="00CE18A1" w:rsidRDefault="00CE18A1" w14:paraId="27E87424" w14:textId="7687DDA3">
            <w:r w:rsidRPr="00C81202">
              <w:t>2</w:t>
            </w:r>
          </w:p>
        </w:tc>
        <w:tc>
          <w:tcPr>
            <w:tcW w:w="1275" w:type="dxa"/>
          </w:tcPr>
          <w:p w:rsidR="00CE18A1" w:rsidP="00CE18A1" w:rsidRDefault="00CE18A1" w14:paraId="1BBC6145" w14:textId="2E5D5632">
            <w:r>
              <w:t>„</w:t>
            </w:r>
            <w:r w:rsidRPr="00E07EEE">
              <w:t>Doplnit</w:t>
            </w:r>
            <w:r>
              <w:t>“</w:t>
            </w:r>
          </w:p>
        </w:tc>
      </w:tr>
      <w:tr w:rsidR="00CE18A1" w:rsidTr="00902CBA" w14:paraId="424B96F7" w14:textId="77777777">
        <w:trPr>
          <w:trHeight w:val="427"/>
        </w:trPr>
        <w:tc>
          <w:tcPr>
            <w:tcW w:w="1702" w:type="dxa"/>
            <w:vMerge/>
            <w:vAlign w:val="center"/>
          </w:tcPr>
          <w:p w:rsidRPr="00751F3A" w:rsidR="00CE18A1" w:rsidP="00CE18A1" w:rsidRDefault="00CE18A1" w14:paraId="1C0D9CCB" w14:textId="77777777">
            <w:pPr>
              <w:jc w:val="center"/>
              <w:rPr>
                <w:b/>
              </w:rPr>
            </w:pPr>
          </w:p>
        </w:tc>
        <w:tc>
          <w:tcPr>
            <w:tcW w:w="2268" w:type="dxa"/>
            <w:noWrap/>
            <w:hideMark/>
          </w:tcPr>
          <w:p w:rsidRPr="007C3363" w:rsidR="00CE18A1" w:rsidP="00CE18A1" w:rsidRDefault="00CE18A1" w14:paraId="5144DDBA" w14:textId="69F49316">
            <w:r>
              <w:rPr>
                <w:color w:val="000000"/>
              </w:rPr>
              <w:t>Postupy výběru zaměstnanců</w:t>
            </w:r>
          </w:p>
        </w:tc>
        <w:tc>
          <w:tcPr>
            <w:tcW w:w="1134" w:type="dxa"/>
            <w:noWrap/>
            <w:vAlign w:val="center"/>
            <w:hideMark/>
          </w:tcPr>
          <w:p w:rsidRPr="007C3363" w:rsidR="00CE18A1" w:rsidP="00CE18A1" w:rsidRDefault="00CE18A1" w14:paraId="59FB1B6F" w14:textId="72571D7A">
            <w:r>
              <w:rPr>
                <w:color w:val="000000"/>
              </w:rPr>
              <w:t>16</w:t>
            </w:r>
          </w:p>
        </w:tc>
        <w:tc>
          <w:tcPr>
            <w:tcW w:w="1418" w:type="dxa"/>
            <w:noWrap/>
            <w:hideMark/>
          </w:tcPr>
          <w:p w:rsidRPr="007C3363" w:rsidR="00CE18A1" w:rsidP="00CE18A1" w:rsidRDefault="00CE18A1" w14:paraId="11585CA0" w14:textId="3600609A">
            <w:r>
              <w:t>5</w:t>
            </w:r>
          </w:p>
        </w:tc>
        <w:tc>
          <w:tcPr>
            <w:tcW w:w="992" w:type="dxa"/>
            <w:noWrap/>
            <w:hideMark/>
          </w:tcPr>
          <w:p w:rsidRPr="004B3D98" w:rsidR="00CE18A1" w:rsidP="00CE18A1" w:rsidRDefault="00CE18A1" w14:paraId="05E61DCD" w14:textId="055DC87E">
            <w:r>
              <w:t>1</w:t>
            </w:r>
          </w:p>
        </w:tc>
        <w:tc>
          <w:tcPr>
            <w:tcW w:w="1525" w:type="dxa"/>
          </w:tcPr>
          <w:p w:rsidR="00CE18A1" w:rsidP="00CE18A1" w:rsidRDefault="00CE18A1" w14:paraId="6811F35F" w14:textId="45E46D9F">
            <w:r w:rsidRPr="00C81202">
              <w:t>2</w:t>
            </w:r>
          </w:p>
        </w:tc>
        <w:tc>
          <w:tcPr>
            <w:tcW w:w="1275" w:type="dxa"/>
          </w:tcPr>
          <w:p w:rsidR="00CE18A1" w:rsidP="00CE18A1" w:rsidRDefault="00CE18A1" w14:paraId="13B282AB" w14:textId="6B878CBD">
            <w:r>
              <w:t>„</w:t>
            </w:r>
            <w:r w:rsidRPr="00E07EEE">
              <w:t>Doplnit</w:t>
            </w:r>
            <w:r>
              <w:t>“</w:t>
            </w:r>
          </w:p>
        </w:tc>
      </w:tr>
      <w:tr w:rsidR="00CE18A1" w:rsidTr="00902CBA" w14:paraId="7CE7067D" w14:textId="77777777">
        <w:trPr>
          <w:trHeight w:val="427"/>
        </w:trPr>
        <w:tc>
          <w:tcPr>
            <w:tcW w:w="1702" w:type="dxa"/>
            <w:vMerge/>
            <w:vAlign w:val="center"/>
          </w:tcPr>
          <w:p w:rsidRPr="00751F3A" w:rsidR="00CE18A1" w:rsidP="00CE18A1" w:rsidRDefault="00CE18A1" w14:paraId="05951E61" w14:textId="77777777">
            <w:pPr>
              <w:jc w:val="center"/>
              <w:rPr>
                <w:b/>
              </w:rPr>
            </w:pPr>
          </w:p>
        </w:tc>
        <w:tc>
          <w:tcPr>
            <w:tcW w:w="2268" w:type="dxa"/>
            <w:noWrap/>
          </w:tcPr>
          <w:p w:rsidRPr="007C3363" w:rsidR="00CE18A1" w:rsidP="00CE18A1" w:rsidRDefault="00CE18A1" w14:paraId="44BB27CF" w14:textId="66BBAE19">
            <w:r>
              <w:rPr>
                <w:color w:val="000000"/>
              </w:rPr>
              <w:t>Prezentační dovednosti</w:t>
            </w:r>
          </w:p>
        </w:tc>
        <w:tc>
          <w:tcPr>
            <w:tcW w:w="1134" w:type="dxa"/>
            <w:noWrap/>
            <w:vAlign w:val="center"/>
          </w:tcPr>
          <w:p w:rsidRPr="007C3363" w:rsidR="00CE18A1" w:rsidP="00CE18A1" w:rsidRDefault="00CE18A1" w14:paraId="5AF30F5B" w14:textId="1312BE58">
            <w:r>
              <w:rPr>
                <w:color w:val="000000"/>
              </w:rPr>
              <w:t>16</w:t>
            </w:r>
          </w:p>
        </w:tc>
        <w:tc>
          <w:tcPr>
            <w:tcW w:w="1418" w:type="dxa"/>
            <w:noWrap/>
          </w:tcPr>
          <w:p w:rsidRPr="007C3363" w:rsidR="00CE18A1" w:rsidP="00CE18A1" w:rsidRDefault="00CE18A1" w14:paraId="39A10A20" w14:textId="68202159">
            <w:r>
              <w:t>5</w:t>
            </w:r>
          </w:p>
        </w:tc>
        <w:tc>
          <w:tcPr>
            <w:tcW w:w="992" w:type="dxa"/>
            <w:noWrap/>
          </w:tcPr>
          <w:p w:rsidRPr="004B3D98" w:rsidR="00CE18A1" w:rsidP="00CE18A1" w:rsidRDefault="00CE18A1" w14:paraId="720E2EF6" w14:textId="79E14291">
            <w:r>
              <w:t>1</w:t>
            </w:r>
          </w:p>
        </w:tc>
        <w:tc>
          <w:tcPr>
            <w:tcW w:w="1525" w:type="dxa"/>
          </w:tcPr>
          <w:p w:rsidRPr="004B3D98" w:rsidR="00CE18A1" w:rsidP="00CE18A1" w:rsidRDefault="00CE18A1" w14:paraId="252C7C32" w14:textId="674E59B5">
            <w:r w:rsidRPr="00C81202">
              <w:t>2</w:t>
            </w:r>
          </w:p>
        </w:tc>
        <w:tc>
          <w:tcPr>
            <w:tcW w:w="1275" w:type="dxa"/>
          </w:tcPr>
          <w:p w:rsidRPr="001B6CBD" w:rsidR="00CE18A1" w:rsidP="00CE18A1" w:rsidRDefault="00CE18A1" w14:paraId="36A54223" w14:textId="0BDB6C01">
            <w:r>
              <w:t>„</w:t>
            </w:r>
            <w:r w:rsidRPr="00E07EEE">
              <w:t>Doplnit</w:t>
            </w:r>
            <w:r>
              <w:t>“</w:t>
            </w:r>
          </w:p>
        </w:tc>
      </w:tr>
      <w:tr w:rsidR="00CE18A1" w:rsidTr="00902CBA" w14:paraId="6F1483DB" w14:textId="77777777">
        <w:trPr>
          <w:trHeight w:val="427"/>
        </w:trPr>
        <w:tc>
          <w:tcPr>
            <w:tcW w:w="1702" w:type="dxa"/>
            <w:vMerge/>
            <w:vAlign w:val="center"/>
          </w:tcPr>
          <w:p w:rsidRPr="00751F3A" w:rsidR="00CE18A1" w:rsidP="00CE18A1" w:rsidRDefault="00CE18A1" w14:paraId="410B7A6F" w14:textId="77777777">
            <w:pPr>
              <w:jc w:val="center"/>
              <w:rPr>
                <w:b/>
              </w:rPr>
            </w:pPr>
          </w:p>
        </w:tc>
        <w:tc>
          <w:tcPr>
            <w:tcW w:w="2268" w:type="dxa"/>
            <w:noWrap/>
          </w:tcPr>
          <w:p w:rsidRPr="007C3363" w:rsidR="00CE18A1" w:rsidP="00CE18A1" w:rsidRDefault="00CE18A1" w14:paraId="7064C865" w14:textId="4912DFA1">
            <w:r>
              <w:rPr>
                <w:color w:val="000000"/>
              </w:rPr>
              <w:t>Time management</w:t>
            </w:r>
          </w:p>
        </w:tc>
        <w:tc>
          <w:tcPr>
            <w:tcW w:w="1134" w:type="dxa"/>
            <w:noWrap/>
            <w:vAlign w:val="center"/>
          </w:tcPr>
          <w:p w:rsidRPr="007C3363" w:rsidR="00CE18A1" w:rsidP="00CE18A1" w:rsidRDefault="00CE18A1" w14:paraId="6568AB46" w14:textId="511CF488">
            <w:r>
              <w:rPr>
                <w:color w:val="000000"/>
              </w:rPr>
              <w:t>16</w:t>
            </w:r>
          </w:p>
        </w:tc>
        <w:tc>
          <w:tcPr>
            <w:tcW w:w="1418" w:type="dxa"/>
            <w:noWrap/>
          </w:tcPr>
          <w:p w:rsidRPr="007C3363" w:rsidR="00CE18A1" w:rsidP="00CE18A1" w:rsidRDefault="00CE18A1" w14:paraId="7B7F7B83" w14:textId="2B2C51D3">
            <w:r>
              <w:t>5</w:t>
            </w:r>
          </w:p>
        </w:tc>
        <w:tc>
          <w:tcPr>
            <w:tcW w:w="992" w:type="dxa"/>
            <w:noWrap/>
          </w:tcPr>
          <w:p w:rsidRPr="004B3D98" w:rsidR="00CE18A1" w:rsidP="00CE18A1" w:rsidRDefault="00CE18A1" w14:paraId="64B23DAF" w14:textId="51C3A8BD">
            <w:r>
              <w:t>1</w:t>
            </w:r>
          </w:p>
        </w:tc>
        <w:tc>
          <w:tcPr>
            <w:tcW w:w="1525" w:type="dxa"/>
          </w:tcPr>
          <w:p w:rsidRPr="004B3D98" w:rsidR="00CE18A1" w:rsidP="00CE18A1" w:rsidRDefault="00CE18A1" w14:paraId="24F54E66" w14:textId="43D452A4">
            <w:r w:rsidRPr="00C81202">
              <w:t>2</w:t>
            </w:r>
          </w:p>
        </w:tc>
        <w:tc>
          <w:tcPr>
            <w:tcW w:w="1275" w:type="dxa"/>
          </w:tcPr>
          <w:p w:rsidRPr="001B6CBD" w:rsidR="00CE18A1" w:rsidP="00CE18A1" w:rsidRDefault="00CE18A1" w14:paraId="71CD6124" w14:textId="3811D64A">
            <w:r>
              <w:t>„</w:t>
            </w:r>
            <w:r w:rsidRPr="00E07EEE">
              <w:t>Doplnit</w:t>
            </w:r>
            <w:r>
              <w:t>“</w:t>
            </w:r>
          </w:p>
        </w:tc>
      </w:tr>
      <w:tr w:rsidR="00CE18A1" w:rsidTr="00902CBA" w14:paraId="5607526D" w14:textId="77777777">
        <w:trPr>
          <w:trHeight w:val="427"/>
        </w:trPr>
        <w:tc>
          <w:tcPr>
            <w:tcW w:w="1702" w:type="dxa"/>
            <w:vAlign w:val="center"/>
          </w:tcPr>
          <w:p w:rsidRPr="00751F3A" w:rsidR="00CE18A1" w:rsidP="00CE18A1" w:rsidRDefault="00CE18A1" w14:paraId="6D5DC049" w14:textId="71F1FDB4">
            <w:pPr>
              <w:jc w:val="center"/>
              <w:rPr>
                <w:b/>
              </w:rPr>
            </w:pPr>
            <w:r>
              <w:rPr>
                <w:b/>
              </w:rPr>
              <w:t>Celkem</w:t>
            </w:r>
          </w:p>
        </w:tc>
        <w:tc>
          <w:tcPr>
            <w:tcW w:w="2268" w:type="dxa"/>
            <w:noWrap/>
          </w:tcPr>
          <w:p w:rsidR="00CE18A1" w:rsidP="00CE18A1" w:rsidRDefault="00CE18A1" w14:paraId="40A6AF39" w14:textId="77777777">
            <w:pPr>
              <w:rPr>
                <w:color w:val="000000"/>
              </w:rPr>
            </w:pPr>
          </w:p>
        </w:tc>
        <w:tc>
          <w:tcPr>
            <w:tcW w:w="1134" w:type="dxa"/>
            <w:noWrap/>
            <w:vAlign w:val="center"/>
          </w:tcPr>
          <w:p w:rsidR="00CE18A1" w:rsidP="00CE18A1" w:rsidRDefault="00CE18A1" w14:paraId="559CFD8A" w14:textId="77777777">
            <w:pPr>
              <w:rPr>
                <w:color w:val="000000"/>
              </w:rPr>
            </w:pPr>
          </w:p>
        </w:tc>
        <w:tc>
          <w:tcPr>
            <w:tcW w:w="1418" w:type="dxa"/>
            <w:noWrap/>
          </w:tcPr>
          <w:p w:rsidR="00CE18A1" w:rsidP="00CE18A1" w:rsidRDefault="00CE18A1" w14:paraId="02B77D30" w14:textId="77777777"/>
        </w:tc>
        <w:tc>
          <w:tcPr>
            <w:tcW w:w="992" w:type="dxa"/>
            <w:noWrap/>
          </w:tcPr>
          <w:p w:rsidR="00CE18A1" w:rsidP="00CE18A1" w:rsidRDefault="00CE18A1" w14:paraId="544A5D0C" w14:textId="77777777"/>
        </w:tc>
        <w:tc>
          <w:tcPr>
            <w:tcW w:w="1525" w:type="dxa"/>
          </w:tcPr>
          <w:p w:rsidRPr="00C81202" w:rsidR="00CE18A1" w:rsidP="00CE18A1" w:rsidRDefault="00CE18A1" w14:paraId="43E0818F" w14:textId="15F36EE4"/>
        </w:tc>
        <w:tc>
          <w:tcPr>
            <w:tcW w:w="1275" w:type="dxa"/>
          </w:tcPr>
          <w:p w:rsidRPr="001B6CBD" w:rsidR="00CE18A1" w:rsidP="00CE18A1" w:rsidRDefault="00CE18A1" w14:paraId="16D72085" w14:textId="58E49E9F">
            <w:r>
              <w:t>„</w:t>
            </w:r>
            <w:r w:rsidRPr="00E07EEE">
              <w:t>Doplnit</w:t>
            </w:r>
            <w:r>
              <w:t>“</w:t>
            </w:r>
          </w:p>
        </w:tc>
      </w:tr>
    </w:tbl>
    <w:p w:rsidR="00260AB0" w:rsidP="00260AB0" w:rsidRDefault="00260AB0" w14:paraId="3ED05347" w14:textId="77777777">
      <w:pPr>
        <w:pStyle w:val="walnut-Odstavec2"/>
        <w:numPr>
          <w:ilvl w:val="0"/>
          <w:numId w:val="0"/>
        </w:numPr>
        <w:ind w:left="680"/>
      </w:pPr>
    </w:p>
    <w:p w:rsidR="00D071A5" w:rsidP="00D071A5" w:rsidRDefault="00D071A5" w14:paraId="52F84CE6" w14:textId="77777777">
      <w:pPr>
        <w:pStyle w:val="walnut-Odstavec2"/>
        <w:numPr>
          <w:ilvl w:val="0"/>
          <w:numId w:val="0"/>
        </w:numPr>
        <w:ind w:left="680"/>
      </w:pPr>
    </w:p>
    <w:p w:rsidR="00D071A5" w:rsidP="00D071A5" w:rsidRDefault="00D071A5" w14:paraId="7FBC2A76" w14:textId="77777777">
      <w:pPr>
        <w:pStyle w:val="walnut-Odstavec1"/>
        <w:numPr>
          <w:ilvl w:val="0"/>
          <w:numId w:val="0"/>
        </w:numPr>
        <w:ind w:left="567"/>
      </w:pPr>
    </w:p>
    <w:p w:rsidR="00B320DA" w:rsidP="00B320DA" w:rsidRDefault="00B320DA" w14:paraId="7A298F04" w14:textId="44956140">
      <w:pPr>
        <w:pStyle w:val="walnut-Odstavec1"/>
      </w:pPr>
      <w:r>
        <w:t>Poddodavatelé</w:t>
      </w:r>
    </w:p>
    <w:p w:rsidR="00B320DA" w:rsidP="00B320DA" w:rsidRDefault="00B320DA" w14:paraId="27607CEC" w14:textId="31C09EF4">
      <w:pPr>
        <w:pStyle w:val="walnut-Odstavec2"/>
      </w:pPr>
      <w:r>
        <w:t>Bude-li předmět smlouvy dodavatel plnit částečně prostřednictvím třetích osob, jsou tyto uvedeny v příloze č. 2 této smlouvy. Změna těchto třetích osob je možná pouze po předchozím písemném souhlasu objednatele. Smluvní strany se dohodly, že souhlas se záměnou těchto třetích osob může být objednatelem odepřen jen ze zvlášť závažného důvodu.</w:t>
      </w:r>
    </w:p>
    <w:p w:rsidR="00B320DA" w:rsidP="00B320DA" w:rsidRDefault="00B320DA" w14:paraId="3BA535F0" w14:textId="459ED427">
      <w:pPr>
        <w:pStyle w:val="walnut-Odstavec2"/>
      </w:pPr>
      <w:r>
        <w:t xml:space="preserve">Poddodavatel je povinen akceptovat právo objednatele na provádění monitorování a kontroly realizace předmětu plnění, jeho rozsahu, kvality a dodržení časového harmonogramu, které musí odpovídat požadavkům objednatele. V rámci těchto kontrol je poddodavatel povinen umožnit kontrolu dokladů souvisejících s realizací předmětu plnění a umožnit osobám </w:t>
      </w:r>
      <w:r>
        <w:lastRenderedPageBreak/>
        <w:t>pověřeným kontrolou a monitorováním vstup na místa realizace aktivit a do sídla poddodavatele. Při kontrole se smluvní strany budou řídit zák. č. 552/1991 Sb., o státní kontrole, v platném znění, a zák. č. 320/2001 Sb., o finanční kontrole, v platném znění.</w:t>
      </w:r>
    </w:p>
    <w:p w:rsidR="00B320DA" w:rsidP="00B320DA" w:rsidRDefault="00B320DA" w14:paraId="4C13079C" w14:textId="4DB05117">
      <w:pPr>
        <w:pStyle w:val="walnut-Odstavec2"/>
      </w:pPr>
      <w:r>
        <w:t>V případě, že dodavatel realizuje plnění dle této smlouvy bez poddodavatelů, považuje se ust. tohoto čl. 9 za neplatné.</w:t>
      </w:r>
    </w:p>
    <w:p w:rsidRPr="00B320DA" w:rsidR="00B320DA" w:rsidP="00B320DA" w:rsidRDefault="00B320DA" w14:paraId="1117DA32" w14:textId="0023C018">
      <w:pPr>
        <w:pStyle w:val="walnut-Odstavec1"/>
      </w:pPr>
      <w:r w:rsidRPr="00B320DA">
        <w:t>Platební podmínky</w:t>
      </w:r>
    </w:p>
    <w:p w:rsidR="00B320DA" w:rsidP="00B320DA" w:rsidRDefault="00B320DA" w14:paraId="5B1A6091" w14:textId="768CF8EF">
      <w:pPr>
        <w:pStyle w:val="walnut-Odstavec2"/>
      </w:pPr>
      <w:r>
        <w:t>Dodavatel, jakožto dodavatel plnění financovaného ze zdrojů Evropského sociálního fondu a státního rozpočtu ČR, se tímto zavazuje, že všechny jeho výdaje budou splňovat tato kritéria:</w:t>
      </w:r>
    </w:p>
    <w:p w:rsidR="00B320DA" w:rsidP="00B320DA" w:rsidRDefault="00B320DA" w14:paraId="1DF7818E" w14:textId="1936ED14">
      <w:pPr>
        <w:pStyle w:val="walnut-Odstavec3"/>
      </w:pPr>
      <w:r>
        <w:t>Účel výdaje: výdaj musí být vynaložen na aktivity v souladu s obsahovou stránkou a cíli projektu popisovanými v této smlouvě a jejích přílohách.</w:t>
      </w:r>
    </w:p>
    <w:p w:rsidR="00B320DA" w:rsidP="00B320DA" w:rsidRDefault="00B320DA" w14:paraId="3B31E71F" w14:textId="6B31CAB1">
      <w:pPr>
        <w:pStyle w:val="walnut-Odstavec3"/>
      </w:pPr>
      <w:r>
        <w:t>Datum uskutečnění výdaje: výdaj musí vzniknout v době trvání smlouvy mezi objednatelem a dodavatelem.</w:t>
      </w:r>
    </w:p>
    <w:p w:rsidR="00B320DA" w:rsidP="00B320DA" w:rsidRDefault="00B320DA" w14:paraId="047C757E" w14:textId="7039CB81">
      <w:pPr>
        <w:pStyle w:val="walnut-Odstavec3"/>
      </w:pPr>
      <w:r>
        <w:t>Evidence a prokazování uskutečněného výdaje: výdaj musí skutečně vzniknout, musí být zaznamenán na účtech dodavatele, být identifikovatelný a kontrolovatelný a originály účetních dokladů musí být doložitelné ve smyslu § 11 zákona č. 563/1991 Sb., o účetnictví, v platném znění, resp. originály jiných dokladů ekvivalentní průkazní hodnoty.</w:t>
      </w:r>
    </w:p>
    <w:p w:rsidR="00B320DA" w:rsidP="00B320DA" w:rsidRDefault="00B320DA" w14:paraId="35B42576" w14:textId="74410095">
      <w:pPr>
        <w:pStyle w:val="walnut-Odstavec3"/>
      </w:pPr>
      <w:r>
        <w:t>Efektivita výdaje: výdaj musí být nezbytný pro realizaci projektu, být vynaložen na aktivity popsané ve výzvě a musí odpovídat požadavkům na efektivní využití finančních prostředků.</w:t>
      </w:r>
    </w:p>
    <w:p w:rsidRPr="00B320DA" w:rsidR="00B320DA" w:rsidP="00B320DA" w:rsidRDefault="00B320DA" w14:paraId="5B0DECAB" w14:textId="7CC0438B">
      <w:pPr>
        <w:pStyle w:val="walnut-Odstavec2"/>
      </w:pPr>
      <w:r w:rsidRPr="00B320DA">
        <w:t>Objednatel se zavazuje uhradit cenu za plnění předmětu této smlouvy na základě předložených řádných účetních dokladů (dále jen „faktura“). Splatnost faktury je 30 dní ode dne doručení objednateli. V pochybnostech se má za to, že faktura byla doručena 3. den po jejím odeslání. Úhrada je splněna dnem odepsání fakturované částky z účtu objednatele.</w:t>
      </w:r>
    </w:p>
    <w:p w:rsidRPr="00B320DA" w:rsidR="00B320DA" w:rsidP="00B320DA" w:rsidRDefault="00B320DA" w14:paraId="403D3CEE" w14:textId="76EC2F97">
      <w:pPr>
        <w:pStyle w:val="walnut-Odstavec2"/>
      </w:pPr>
      <w:r w:rsidRPr="00B320DA">
        <w:t>Dodavatel je oprávněn předložit fakturu na základě objednatelem odsouhlasených zpráv o činnosti. Zprávy o činnosti budou zpracovány a dokládány ve stanovených termínech ve vazbě na veškeré realizované činnosti v daném období, tj. za kalendářní měsíc. Přílohou zprávy o činnosti bude vyúčtování čerpání finančních prostředků podle struktury nabídkové ceny. Zprávy budou předány v počtu vyhotovení stanovených objednatelem a každá zpráva bude obsahovat oddělené části týkající se plnění za jednotlivé aktivity zakázky.</w:t>
      </w:r>
    </w:p>
    <w:p w:rsidRPr="00B320DA" w:rsidR="00B320DA" w:rsidP="00B320DA" w:rsidRDefault="00B320DA" w14:paraId="08574404" w14:textId="116365AE">
      <w:pPr>
        <w:pStyle w:val="walnut-Odstavec2"/>
      </w:pPr>
      <w:r w:rsidRPr="00B320DA">
        <w:t>Faktura musí obsahovat všechny náležitosti řádného daňového a účetního dokladu ve smyslu příslušných právních předpisů (zejména zák. č. 563/1991 Sb., o účetnictví, a zák. č. 235/2004 Sb., o dani z přidané hodnoty, v platném znění) a také obsahovat název a číslo projektu. Toto ustanovení platí i při nejasnostech vyplývajících z provedené kontroly objednatelem doloženého předmětu plnění. V případě, že faktura nebude mít odpovídající náležitosti, je objednatel oprávněn zaslat ji ve lhůtě splatnosti zpět dodavateli k doplnění či úpravě, aniž se dostane do prodlení se splatností – lhůta splatnosti počíná běžet znovu od opětovného zaslání náležitě doplněného či opraveného dokladu.</w:t>
      </w:r>
    </w:p>
    <w:p w:rsidRPr="00B320DA" w:rsidR="00B320DA" w:rsidP="00B320DA" w:rsidRDefault="00B320DA" w14:paraId="16D900DB" w14:textId="2D408267">
      <w:pPr>
        <w:pStyle w:val="walnut-Odstavec2"/>
      </w:pPr>
      <w:r w:rsidRPr="00B320DA">
        <w:t>V případě, že účastník předčasně ukončí účast na aktivitě, bude dodavatel povinen vyčíslit prokazatelně vynaložené výdaje spojené s účastí účastníka na aktivitě. Dojde-li k neoprávněnému proplacení úplných nákladů na aktivitu jednoho účastníka v důsledku nesplnění povinnosti dodavatele informovat objednatele o neúčasti klienta na aktivitě, pokud je tato neúčast delší než 3 po sobě jdoucí pracovní dny, bude objednatel požadovat vrácení těchto neoprávněně vyplacených finančních prostředků.</w:t>
      </w:r>
    </w:p>
    <w:p w:rsidR="00B320DA" w:rsidP="00B320DA" w:rsidRDefault="00B320DA" w14:paraId="1E029C44" w14:textId="1ED77A1E">
      <w:pPr>
        <w:pStyle w:val="walnut-Odstavec1"/>
      </w:pPr>
      <w:r>
        <w:t>Smluvní pokuty</w:t>
      </w:r>
    </w:p>
    <w:p w:rsidR="00B320DA" w:rsidP="00B320DA" w:rsidRDefault="00B320DA" w14:paraId="653193D9" w14:textId="4B749C6D">
      <w:pPr>
        <w:pStyle w:val="walnut-Odstavec2"/>
      </w:pPr>
      <w:r>
        <w:t xml:space="preserve">Dodavatel se zavazuje uhradit objednateli smluvní pokutu ve výši 0,5 % z ceny bez DPH za prodlení s plněním v rámci jednotlivých aktivit za každý byť jen započatý den prodlení, a to </w:t>
      </w:r>
      <w:r>
        <w:lastRenderedPageBreak/>
        <w:t xml:space="preserve">zvlášť za prodlení s každým jednotlivým plněním v rámci aktivit, jak jsou vymezena v čl. 3 odst. 3.1 této smlouvy. Uplatněním nároku objednatele na zaplacení smluvní pokuty není nikterak dotčen ani omezen nárok objednatele na náhradu způsobené škody v plné výši. </w:t>
      </w:r>
    </w:p>
    <w:p w:rsidR="00B320DA" w:rsidP="00B320DA" w:rsidRDefault="00B320DA" w14:paraId="3A01E00C" w14:textId="53A1DF08">
      <w:pPr>
        <w:pStyle w:val="walnut-Odstavec2"/>
      </w:pPr>
      <w:r>
        <w:t>Dostane-li se kterákoliv ze stran do prodlení s úhradou kterékoli částky z této smlouvy, je strana v prodlení povinna uhradit druhé smluvní straně smluvní pokutu ve výši 0,05 % z dlužné částky za každý den prodlení.</w:t>
      </w:r>
    </w:p>
    <w:p w:rsidR="00B320DA" w:rsidP="00B320DA" w:rsidRDefault="00B320DA" w14:paraId="74FCFBA1" w14:textId="03F62328">
      <w:pPr>
        <w:pStyle w:val="walnut-Odstavec2"/>
      </w:pPr>
      <w:r>
        <w:t>Stanovená pokuta je splatná do 30 dnů od obdržení výzvy objednatele k úhradě.</w:t>
      </w:r>
    </w:p>
    <w:p w:rsidR="00B320DA" w:rsidP="00B320DA" w:rsidRDefault="00B320DA" w14:paraId="284E5670" w14:textId="14AF6291">
      <w:pPr>
        <w:pStyle w:val="walnut-Odstavec2"/>
      </w:pPr>
      <w:r>
        <w:t xml:space="preserve">V případě objektivních důvodů pro nenaplnění požadovaných indikátorů, které nebudou na straně dodavatele ani jeho partnerů či poddodavatelů, může objednatel od vymáhání smluvní pokuty upustit. Požadovanou smluvní pokutou není jakkoliv dotčen ani omezen nárok na náhradu škody v plné výši. </w:t>
      </w:r>
    </w:p>
    <w:p w:rsidR="00B320DA" w:rsidP="00B320DA" w:rsidRDefault="00B320DA" w14:paraId="6056BF68" w14:textId="27650E86">
      <w:pPr>
        <w:pStyle w:val="walnut-Odstavec1"/>
      </w:pPr>
      <w:r>
        <w:t>Doba platnosti smlouvy, odstoupení od smlouvy</w:t>
      </w:r>
    </w:p>
    <w:p w:rsidR="00B320DA" w:rsidP="00B320DA" w:rsidRDefault="00B320DA" w14:paraId="7AF9E5E0" w14:textId="6AEAE6D8">
      <w:pPr>
        <w:pStyle w:val="walnut-Odstavec2"/>
      </w:pPr>
      <w:r>
        <w:t>Tato smlouva nabývá platnosti a účinnosti dnem jejího podpisu oběma smluvními stranami.</w:t>
      </w:r>
    </w:p>
    <w:p w:rsidR="00B320DA" w:rsidP="00B320DA" w:rsidRDefault="00B320DA" w14:paraId="5FF4AE32" w14:textId="2E007DC0">
      <w:pPr>
        <w:pStyle w:val="walnut-Odstavec2"/>
      </w:pPr>
      <w:r>
        <w:t>Objednatel je oprávněn odstoupit od této smlouvy v případě závažného porušení smlouvy ze strany dodavatele, např. prodlení dodavatele s plněním zakázky o 1 měsíc a déle zaviněné dodavatelem, vykazování neexistujících plnění, finanční nesrovnalosti, které nebudou objasněny do jednoho měsíce po jejich zjištění, jednání dodavatele, které odporuje dobrým mravům. Ke zrušení smlouvy dochází okamžikem doručení písemného projevu vůle odstoupit od této smlouvy dodavateli.</w:t>
      </w:r>
    </w:p>
    <w:p w:rsidRPr="00B320DA" w:rsidR="00B320DA" w:rsidP="00B320DA" w:rsidRDefault="00B320DA" w14:paraId="48CB9CB0" w14:textId="63E4E9A4">
      <w:pPr>
        <w:pStyle w:val="walnut-Odstavec1"/>
      </w:pPr>
      <w:r w:rsidRPr="00B320DA">
        <w:t>Řešení případných sporů</w:t>
      </w:r>
    </w:p>
    <w:p w:rsidR="00B320DA" w:rsidP="00B320DA" w:rsidRDefault="00B320DA" w14:paraId="4646F4B0" w14:textId="500FF196">
      <w:pPr>
        <w:pStyle w:val="walnut-Odstavec2"/>
      </w:pPr>
      <w: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B320DA" w:rsidP="00B320DA" w:rsidRDefault="00B320DA" w14:paraId="2B25DB3B" w14:textId="5FE42FF0">
      <w:pPr>
        <w:pStyle w:val="walnut-Odstavec2"/>
      </w:pPr>
      <w:r>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00B320DA" w:rsidP="00B320DA" w:rsidRDefault="00B320DA" w14:paraId="6658315C" w14:textId="0EB3FACF">
      <w:pPr>
        <w:pStyle w:val="walnut-Odstavec1"/>
      </w:pPr>
      <w:r>
        <w:t>Závěrečná ustanovení</w:t>
      </w:r>
    </w:p>
    <w:p w:rsidRPr="00B320DA" w:rsidR="00B320DA" w:rsidP="00B320DA" w:rsidRDefault="00B320DA" w14:paraId="606A88D6" w14:textId="703C4603">
      <w:pPr>
        <w:pStyle w:val="walnut-Odstavec2"/>
      </w:pPr>
      <w:r w:rsidRPr="00B320DA">
        <w:t>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smlouvy, jež pozbyla platnosti.</w:t>
      </w:r>
    </w:p>
    <w:p w:rsidRPr="00B320DA" w:rsidR="00B320DA" w:rsidP="00B320DA" w:rsidRDefault="00B320DA" w14:paraId="72106197" w14:textId="29A99F95">
      <w:pPr>
        <w:pStyle w:val="walnut-Odstavec2"/>
      </w:pPr>
      <w:r w:rsidRPr="00B320DA">
        <w:t>Dle § 2 písm. e) zákona č. 320/2001 Sb., o finanční kontrole ve veřejné správě, ve znění pozdějších předpisů, je dodavatel osobou povinou spolupůsobit při výkonu finanční kontroly.</w:t>
      </w:r>
    </w:p>
    <w:p w:rsidRPr="00B320DA" w:rsidR="00B320DA" w:rsidP="00B320DA" w:rsidRDefault="00B320DA" w14:paraId="797CD49D" w14:textId="6B5BDC6F">
      <w:pPr>
        <w:pStyle w:val="walnut-Odstavec2"/>
      </w:pPr>
      <w:r w:rsidRPr="00B320DA">
        <w:t>Neupravené smluvní vztahy se řídí občanským zákoníkem.</w:t>
      </w:r>
    </w:p>
    <w:p w:rsidRPr="00B320DA" w:rsidR="00B320DA" w:rsidP="00B320DA" w:rsidRDefault="00B320DA" w14:paraId="44F5877E" w14:textId="3E248F34">
      <w:pPr>
        <w:pStyle w:val="walnut-Odstavec2"/>
      </w:pPr>
      <w:r w:rsidRPr="00B320DA">
        <w:t>V otázkách týkajících se výkladu smlouvy, musí mít výzva přednost před nabídkou, nikoliv však před občanským zákoníkem a ostatními obecně závaznými právními předpisy.</w:t>
      </w:r>
    </w:p>
    <w:p w:rsidRPr="00B320DA" w:rsidR="00B320DA" w:rsidP="00B320DA" w:rsidRDefault="00B320DA" w14:paraId="1A5BBB60" w14:textId="098C8E50">
      <w:pPr>
        <w:pStyle w:val="walnut-Odstavec2"/>
      </w:pPr>
      <w:r w:rsidRPr="00B320DA">
        <w:t>Pro veškerá jednání ve věci této Smlouvy pověřují smluvní strany následující kontaktní osoby:</w:t>
      </w:r>
    </w:p>
    <w:p w:rsidR="00B320DA" w:rsidP="00B320DA" w:rsidRDefault="00B320DA" w14:paraId="4C301A1B" w14:textId="5356CEB6">
      <w:pPr>
        <w:pStyle w:val="walnut-Odstavec3"/>
      </w:pPr>
      <w:r>
        <w:t>Za objednatele:</w:t>
      </w:r>
    </w:p>
    <w:p w:rsidR="00B320DA" w:rsidP="008968C1" w:rsidRDefault="00CE18A1" w14:paraId="6C665B8B" w14:textId="634A1E93">
      <w:pPr>
        <w:pStyle w:val="walnut-Odstavec4"/>
      </w:pPr>
      <w:r>
        <w:lastRenderedPageBreak/>
        <w:t>Bc. Milan Ježek, jednatel JS Communication s.r.o., tel. 734659688</w:t>
      </w:r>
    </w:p>
    <w:p w:rsidR="00B320DA" w:rsidP="00B320DA" w:rsidRDefault="00B320DA" w14:paraId="2DD2C641" w14:textId="23211AC0">
      <w:pPr>
        <w:pStyle w:val="walnut-Odstavec3"/>
      </w:pPr>
      <w:r>
        <w:t xml:space="preserve">Za dodavatele: </w:t>
      </w:r>
    </w:p>
    <w:p w:rsidR="00B320DA" w:rsidP="00B320DA" w:rsidRDefault="00B320DA" w14:paraId="0A0C6EAD" w14:textId="480BF1AB">
      <w:pPr>
        <w:pStyle w:val="walnut-Odstavec4"/>
      </w:pPr>
      <w:r>
        <w:t>„</w:t>
      </w:r>
      <w:r w:rsidRPr="008968C1">
        <w:rPr>
          <w:highlight w:val="yellow"/>
        </w:rPr>
        <w:t>DOPLNIT</w:t>
      </w:r>
      <w:r>
        <w:t>“</w:t>
      </w:r>
    </w:p>
    <w:p w:rsidR="00B320DA" w:rsidP="00B320DA" w:rsidRDefault="00B320DA" w14:paraId="19FEAC21" w14:textId="0D4316A0">
      <w:pPr>
        <w:pStyle w:val="walnut-Odstavec2"/>
      </w:pPr>
      <w:r>
        <w:t>Dodavatel prohlašuje, že je pojištěn proti všem škodám a rizikům souvisejícím s realizací aktivit. Dodavatel se zavazuje, že pojištění podle ust. předchozí věty ponechá v platnosti po celou dobu realizace aktivit a kdykoli na výzvu Objednatele prokáže existenci tohoto pojištění doložením pojistné smlouvy.</w:t>
      </w:r>
    </w:p>
    <w:p w:rsidR="00B320DA" w:rsidP="00B320DA" w:rsidRDefault="00B320DA" w14:paraId="5A1E3A30" w14:textId="61C7A202">
      <w:pPr>
        <w:pStyle w:val="walnut-Odstavec2"/>
      </w:pPr>
      <w:r>
        <w:t>Jakékoliv změny a doplňky této smlouvy jsou možné jen formou písemných, vzestupně číslovaných a oboustranně podepsaných dodatků.</w:t>
      </w:r>
    </w:p>
    <w:p w:rsidR="00B320DA" w:rsidP="00B320DA" w:rsidRDefault="00B320DA" w14:paraId="54AB3939" w14:textId="429F152C">
      <w:pPr>
        <w:pStyle w:val="walnut-Odstavec2"/>
      </w:pPr>
      <w:r>
        <w:t>Tato smlouva je vyhotovena ve dvou vyhotoveních s platností originálu, přičemž dodavatel i objednatel obdrží po jednom vyhotovení.</w:t>
      </w:r>
    </w:p>
    <w:p w:rsidR="00B320DA" w:rsidP="00B320DA" w:rsidRDefault="00B320DA" w14:paraId="47BF2E3A" w14:textId="6BFC08C8">
      <w:pPr>
        <w:pStyle w:val="walnut-Odstavec2"/>
      </w:pPr>
      <w:r>
        <w:t>Smluvní strany po přečtení této smlouvy shodně prohlašují, že byla sepsána a uzavřena podle jejich pravé a svobodné vůle, nikoli v tísni či za nápadně nevýhodných podmínek, a na důkaz toho připojují své podpisy.</w:t>
      </w:r>
    </w:p>
    <w:p w:rsidR="00B320DA" w:rsidP="00B320DA" w:rsidRDefault="00B320DA" w14:paraId="0C5D3DD7" w14:textId="3EE9CBA7">
      <w:pPr>
        <w:pStyle w:val="walnut-Odstavec1"/>
      </w:pPr>
      <w:r>
        <w:t>Přílohy</w:t>
      </w:r>
    </w:p>
    <w:p w:rsidR="00B320DA" w:rsidP="00B320DA" w:rsidRDefault="00B320DA" w14:paraId="701A219E" w14:textId="2A36AE32">
      <w:pPr>
        <w:pStyle w:val="walnut-Odstavec3"/>
      </w:pPr>
      <w:r>
        <w:t>Příloha č. 1 - Výzva</w:t>
      </w:r>
    </w:p>
    <w:p w:rsidR="00B320DA" w:rsidP="00B320DA" w:rsidRDefault="00B320DA" w14:paraId="69B85217" w14:textId="16C492E5">
      <w:pPr>
        <w:pStyle w:val="walnut-Odstavec3"/>
      </w:pPr>
      <w:r>
        <w:t xml:space="preserve">Příloha č. 2 – </w:t>
      </w:r>
      <w:r w:rsidRPr="00174324" w:rsidR="00174324">
        <w:t>Specifikace předmětu plnění</w:t>
      </w:r>
    </w:p>
    <w:p w:rsidR="00B320DA" w:rsidP="00B320DA" w:rsidRDefault="00B320DA" w14:paraId="24EB2FE4" w14:textId="77777777">
      <w:pPr>
        <w:pStyle w:val="walnut-Odstavec1"/>
      </w:pPr>
      <w:r>
        <w:t>Podpisy</w:t>
      </w:r>
    </w:p>
    <w:p w:rsidR="00260AB0" w:rsidP="00260AB0" w:rsidRDefault="00260AB0" w14:paraId="24826DA5" w14:textId="77777777">
      <w:pPr>
        <w:pStyle w:val="walnut-Odstavec1"/>
        <w:numPr>
          <w:ilvl w:val="0"/>
          <w:numId w:val="0"/>
        </w:numPr>
        <w:ind w:left="567" w:hanging="567"/>
      </w:pPr>
    </w:p>
    <w:tbl>
      <w:tblPr>
        <w:tblW w:w="0" w:type="auto"/>
        <w:tblInd w:w="55" w:type="dxa"/>
        <w:tblLayout w:type="fixed"/>
        <w:tblCellMar>
          <w:top w:w="55" w:type="dxa"/>
          <w:left w:w="55" w:type="dxa"/>
          <w:bottom w:w="55" w:type="dxa"/>
          <w:right w:w="55" w:type="dxa"/>
        </w:tblCellMar>
        <w:tblLook w:firstRow="0" w:lastRow="0" w:firstColumn="0" w:lastColumn="0" w:noHBand="0" w:noVBand="0" w:val="0000"/>
      </w:tblPr>
      <w:tblGrid>
        <w:gridCol w:w="5141"/>
        <w:gridCol w:w="5142"/>
      </w:tblGrid>
      <w:tr w:rsidRPr="00396F5C" w:rsidR="00B320DA" w:rsidTr="00260AB0" w14:paraId="281CD9F5" w14:textId="77777777">
        <w:trPr>
          <w:trHeight w:val="1177"/>
        </w:trPr>
        <w:tc>
          <w:tcPr>
            <w:tcW w:w="5141" w:type="dxa"/>
            <w:shd w:val="clear" w:color="auto" w:fill="auto"/>
          </w:tcPr>
          <w:p w:rsidRPr="00396F5C" w:rsidR="00B320DA" w:rsidP="000656E0" w:rsidRDefault="00B320DA" w14:paraId="56DDD1C4" w14:textId="77777777">
            <w:pPr>
              <w:suppressLineNumbers/>
              <w:rPr>
                <w:rFonts w:eastAsia="Lucida Sans Unicode"/>
              </w:rPr>
            </w:pPr>
            <w:r w:rsidRPr="00396F5C">
              <w:rPr>
                <w:rFonts w:eastAsia="Lucida Sans Unicode"/>
              </w:rPr>
              <w:t>V ________________, dne __________ 2017</w:t>
            </w:r>
          </w:p>
        </w:tc>
        <w:tc>
          <w:tcPr>
            <w:tcW w:w="5142" w:type="dxa"/>
            <w:shd w:val="clear" w:color="auto" w:fill="auto"/>
          </w:tcPr>
          <w:p w:rsidRPr="00396F5C" w:rsidR="00B320DA" w:rsidP="000656E0" w:rsidRDefault="00B320DA" w14:paraId="16C53F5F" w14:textId="77777777">
            <w:pPr>
              <w:rPr>
                <w:rFonts w:eastAsia="Lucida Sans Unicode"/>
              </w:rPr>
            </w:pPr>
            <w:r w:rsidRPr="00396F5C">
              <w:rPr>
                <w:rFonts w:eastAsia="Lucida Sans Unicode"/>
              </w:rPr>
              <w:t>V________________, dne _________ 2017</w:t>
            </w:r>
          </w:p>
        </w:tc>
      </w:tr>
      <w:tr w:rsidRPr="00396F5C" w:rsidR="00B320DA" w:rsidTr="000656E0" w14:paraId="032D72AE" w14:textId="77777777">
        <w:tc>
          <w:tcPr>
            <w:tcW w:w="5141" w:type="dxa"/>
            <w:shd w:val="clear" w:color="auto" w:fill="auto"/>
          </w:tcPr>
          <w:p w:rsidRPr="00396F5C" w:rsidR="00B320DA" w:rsidP="000656E0" w:rsidRDefault="00B320DA" w14:paraId="78A4A1CB" w14:textId="77777777">
            <w:pPr>
              <w:rPr>
                <w:rFonts w:eastAsia="Lucida Sans Unicode"/>
              </w:rPr>
            </w:pPr>
            <w:r w:rsidRPr="00396F5C">
              <w:rPr>
                <w:rFonts w:eastAsia="Lucida Sans Unicode"/>
              </w:rPr>
              <w:t>_____________________________________</w:t>
            </w:r>
          </w:p>
        </w:tc>
        <w:tc>
          <w:tcPr>
            <w:tcW w:w="5142" w:type="dxa"/>
            <w:shd w:val="clear" w:color="auto" w:fill="auto"/>
          </w:tcPr>
          <w:p w:rsidRPr="00396F5C" w:rsidR="00B320DA" w:rsidP="000656E0" w:rsidRDefault="00B320DA" w14:paraId="247A4ECA" w14:textId="77777777">
            <w:pPr>
              <w:rPr>
                <w:rFonts w:eastAsia="Lucida Sans Unicode"/>
              </w:rPr>
            </w:pPr>
            <w:r w:rsidRPr="00396F5C">
              <w:rPr>
                <w:rFonts w:eastAsia="Lucida Sans Unicode"/>
              </w:rPr>
              <w:t>_____________________________________</w:t>
            </w:r>
          </w:p>
        </w:tc>
      </w:tr>
      <w:tr w:rsidRPr="00396F5C" w:rsidR="00B320DA" w:rsidTr="000656E0" w14:paraId="6E84B394" w14:textId="77777777">
        <w:tc>
          <w:tcPr>
            <w:tcW w:w="5141" w:type="dxa"/>
            <w:shd w:val="clear" w:color="auto" w:fill="auto"/>
          </w:tcPr>
          <w:p w:rsidRPr="00396F5C" w:rsidR="00B320DA" w:rsidP="000656E0" w:rsidRDefault="00B320DA" w14:paraId="019521C8" w14:textId="77777777">
            <w:pPr>
              <w:rPr>
                <w:rFonts w:eastAsia="Lucida Sans Unicode"/>
              </w:rPr>
            </w:pPr>
            <w:r w:rsidRPr="00396F5C">
              <w:rPr>
                <w:rFonts w:eastAsia="Lucida Sans Unicode"/>
                <w:b/>
                <w:bCs/>
              </w:rPr>
              <w:t>objednatel</w:t>
            </w:r>
          </w:p>
          <w:p w:rsidRPr="00396F5C" w:rsidR="00B320DA" w:rsidP="000656E0" w:rsidRDefault="00CE18A1" w14:paraId="513D9B59" w14:textId="46B8C4C9">
            <w:pPr>
              <w:rPr>
                <w:rFonts w:eastAsia="Lucida Sans Unicode"/>
              </w:rPr>
            </w:pPr>
            <w:r>
              <w:t>Bc. Milan Ježek, jednatel JS Communication s.r.o</w:t>
            </w:r>
          </w:p>
        </w:tc>
        <w:tc>
          <w:tcPr>
            <w:tcW w:w="5142" w:type="dxa"/>
            <w:shd w:val="clear" w:color="auto" w:fill="auto"/>
          </w:tcPr>
          <w:p w:rsidRPr="00396F5C" w:rsidR="00B320DA" w:rsidP="000656E0" w:rsidRDefault="00B320DA" w14:paraId="437D7DD1" w14:textId="77777777">
            <w:pPr>
              <w:rPr>
                <w:rFonts w:eastAsia="Lucida Sans Unicode"/>
                <w:b/>
                <w:bCs/>
              </w:rPr>
            </w:pPr>
            <w:r>
              <w:rPr>
                <w:rFonts w:eastAsia="Lucida Sans Unicode"/>
                <w:b/>
                <w:bCs/>
              </w:rPr>
              <w:t>dodavatel</w:t>
            </w:r>
          </w:p>
          <w:p w:rsidRPr="00396F5C" w:rsidR="00B320DA" w:rsidP="000656E0" w:rsidRDefault="00B320DA" w14:paraId="40509584" w14:textId="77777777">
            <w:pPr>
              <w:rPr>
                <w:rFonts w:eastAsia="Lucida Sans Unicode"/>
              </w:rPr>
            </w:pPr>
            <w:r w:rsidRPr="00396F5C">
              <w:rPr>
                <w:rFonts w:eastAsia="Lucida Sans Unicode"/>
              </w:rPr>
              <w:t xml:space="preserve"> </w:t>
            </w:r>
            <w:r w:rsidRPr="00396F5C">
              <w:rPr>
                <w:rFonts w:eastAsia="Lucida Sans Unicode"/>
                <w:highlight w:val="yellow"/>
              </w:rPr>
              <w:t>VLOŽIT</w:t>
            </w:r>
            <w:r w:rsidRPr="00396F5C">
              <w:rPr>
                <w:rFonts w:eastAsia="Lucida Sans Unicode"/>
              </w:rPr>
              <w:t xml:space="preserve">  </w:t>
            </w:r>
            <w:r w:rsidRPr="00396F5C">
              <w:rPr>
                <w:rFonts w:eastAsia="Lucida Sans Unicode"/>
                <w:highlight w:val="yellow"/>
              </w:rPr>
              <w:t>VLOŽIT</w:t>
            </w:r>
            <w:r w:rsidRPr="00396F5C">
              <w:rPr>
                <w:rFonts w:eastAsia="Lucida Sans Unicode"/>
              </w:rPr>
              <w:t xml:space="preserve">,  </w:t>
            </w:r>
            <w:r w:rsidRPr="00396F5C">
              <w:rPr>
                <w:rFonts w:eastAsia="Lucida Sans Unicode"/>
                <w:highlight w:val="yellow"/>
              </w:rPr>
              <w:t>VLOŽIT</w:t>
            </w:r>
          </w:p>
        </w:tc>
      </w:tr>
    </w:tbl>
    <w:p w:rsidRPr="00B320DA" w:rsidR="009F1AD7" w:rsidP="00CE18A1" w:rsidRDefault="009F1AD7" w14:paraId="2F64BF61" w14:textId="26744A87">
      <w:pPr>
        <w:pStyle w:val="walnut-Odstavec1"/>
        <w:numPr>
          <w:ilvl w:val="0"/>
          <w:numId w:val="0"/>
        </w:numPr>
        <w:ind w:left="567" w:hanging="567"/>
      </w:pPr>
    </w:p>
    <w:sectPr w:rsidRPr="00B320DA" w:rsidR="009F1AD7">
      <w:headerReference w:type="default" r:id="rId8"/>
      <w:pgSz w:w="11906" w:h="16838"/>
      <w:pgMar w:top="1417" w:right="1417" w:bottom="1417" w:left="1417" w:header="708" w:footer="708" w:gutter="0"/>
      <w:cols w:space="708"/>
      <w:docGrid w:linePitch="360" w:charSpace="-2049"/>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3472FB" w:rsidP="00A65DD1" w:rsidRDefault="003472FB" w14:paraId="5FF5EDE4" w14:textId="77777777">
      <w:pPr>
        <w:spacing w:after="0" w:line="240" w:lineRule="auto"/>
      </w:pPr>
      <w:r>
        <w:separator/>
      </w:r>
    </w:p>
  </w:endnote>
  <w:endnote w:type="continuationSeparator" w:id="0">
    <w:p w:rsidR="003472FB" w:rsidP="00A65DD1" w:rsidRDefault="003472FB" w14:paraId="3404F6B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Titillium Web">
    <w:altName w:val="Courier New"/>
    <w:charset w:val="EE"/>
    <w:family w:val="auto"/>
    <w:pitch w:val="variable"/>
    <w:sig w:usb0="00000001"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ndale Sans UI">
    <w:altName w:val="Times New Roman"/>
    <w:charset w:val="00"/>
    <w:family w:val="auto"/>
    <w:pitch w:val="variable"/>
  </w:font>
  <w:font w:name="Segoe UI">
    <w:altName w:val="Calibri"/>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3472FB" w:rsidP="00A65DD1" w:rsidRDefault="003472FB" w14:paraId="457A53A6" w14:textId="77777777">
      <w:pPr>
        <w:spacing w:after="0" w:line="240" w:lineRule="auto"/>
      </w:pPr>
      <w:r>
        <w:separator/>
      </w:r>
    </w:p>
  </w:footnote>
  <w:footnote w:type="continuationSeparator" w:id="0">
    <w:p w:rsidR="003472FB" w:rsidP="00A65DD1" w:rsidRDefault="003472FB" w14:paraId="5A535E82"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115F7" w:rsidRDefault="009115F7" w14:paraId="543718CB" w14:textId="6994EA62">
    <w:pPr>
      <w:pStyle w:val="Zhlav"/>
    </w:pPr>
    <w:r w:rsidRPr="00503F28">
      <w:rPr>
        <w:noProof/>
        <w:lang w:eastAsia="cs-CZ"/>
      </w:rPr>
      <w:drawing>
        <wp:anchor distT="0" distB="0" distL="114300" distR="114300" simplePos="false" relativeHeight="251658240" behindDoc="false" locked="false" layoutInCell="true" allowOverlap="true" wp14:anchorId="776DFB24" wp14:editId="04991CDB">
          <wp:simplePos x="0" y="0"/>
          <wp:positionH relativeFrom="column">
            <wp:posOffset>-239809</wp:posOffset>
          </wp:positionH>
          <wp:positionV relativeFrom="paragraph">
            <wp:posOffset>19078</wp:posOffset>
          </wp:positionV>
          <wp:extent cx="2865755" cy="593725"/>
          <wp:effectExtent l="0" t="0" r="0" b="0"/>
          <wp:wrapTopAndBottom/>
          <wp:docPr id="4" name="Obrázek 4" descr="V:\PUBLICITA\OBDOBÍ _2014+\VIZUALNI_IDENTITA\logo\OPZ_CB_cerne.jpg"/>
          <wp:cNvGraphicFramePr>
            <a:graphicFrameLocks noChangeAspect="true"/>
          </wp:cNvGraphicFramePr>
          <a:graphic>
            <a:graphicData uri="http://schemas.openxmlformats.org/drawingml/2006/picture">
              <pic:pic>
                <pic:nvPicPr>
                  <pic:cNvPr id="0" name="Obrázek 1"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mo="http://schemas.microsoft.com/office/mac/office/2008/main" xmlns:mv="urn:schemas-microsoft-com:mac:vml"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575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15F7" w:rsidRDefault="009115F7" w14:paraId="29AEF7DE"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FFFFFF7C"/>
    <w:multiLevelType w:val="singleLevel"/>
    <w:tmpl w:val="7EDA0DBC"/>
    <w:lvl w:ilvl="0">
      <w:start w:val="1"/>
      <w:numFmt w:val="decimal"/>
      <w:lvlText w:val="%1."/>
      <w:lvlJc w:val="left"/>
      <w:pPr>
        <w:tabs>
          <w:tab w:val="num" w:pos="1492"/>
        </w:tabs>
        <w:ind w:left="1492" w:hanging="360"/>
      </w:pPr>
    </w:lvl>
  </w:abstractNum>
  <w:abstractNum w:abstractNumId="1">
    <w:nsid w:val="FFFFFF7D"/>
    <w:multiLevelType w:val="singleLevel"/>
    <w:tmpl w:val="D26E3EF2"/>
    <w:lvl w:ilvl="0">
      <w:start w:val="1"/>
      <w:numFmt w:val="decimal"/>
      <w:lvlText w:val="%1."/>
      <w:lvlJc w:val="left"/>
      <w:pPr>
        <w:tabs>
          <w:tab w:val="num" w:pos="1209"/>
        </w:tabs>
        <w:ind w:left="1209" w:hanging="360"/>
      </w:pPr>
    </w:lvl>
  </w:abstractNum>
  <w:abstractNum w:abstractNumId="2">
    <w:nsid w:val="FFFFFF7E"/>
    <w:multiLevelType w:val="singleLevel"/>
    <w:tmpl w:val="89FE779C"/>
    <w:lvl w:ilvl="0">
      <w:start w:val="1"/>
      <w:numFmt w:val="decimal"/>
      <w:lvlText w:val="%1."/>
      <w:lvlJc w:val="left"/>
      <w:pPr>
        <w:tabs>
          <w:tab w:val="num" w:pos="926"/>
        </w:tabs>
        <w:ind w:left="926" w:hanging="360"/>
      </w:pPr>
    </w:lvl>
  </w:abstractNum>
  <w:abstractNum w:abstractNumId="3">
    <w:nsid w:val="FFFFFF7F"/>
    <w:multiLevelType w:val="singleLevel"/>
    <w:tmpl w:val="9CEECB36"/>
    <w:lvl w:ilvl="0">
      <w:start w:val="1"/>
      <w:numFmt w:val="decimal"/>
      <w:lvlText w:val="%1."/>
      <w:lvlJc w:val="left"/>
      <w:pPr>
        <w:tabs>
          <w:tab w:val="num" w:pos="643"/>
        </w:tabs>
        <w:ind w:left="643" w:hanging="360"/>
      </w:pPr>
    </w:lvl>
  </w:abstractNum>
  <w:abstractNum w:abstractNumId="4">
    <w:nsid w:val="FFFFFF80"/>
    <w:multiLevelType w:val="singleLevel"/>
    <w:tmpl w:val="F8E624E0"/>
    <w:lvl w:ilvl="0">
      <w:start w:val="1"/>
      <w:numFmt w:val="bullet"/>
      <w:lvlText w:val=""/>
      <w:lvlJc w:val="left"/>
      <w:pPr>
        <w:tabs>
          <w:tab w:val="num" w:pos="1492"/>
        </w:tabs>
        <w:ind w:left="1492" w:hanging="360"/>
      </w:pPr>
      <w:rPr>
        <w:rFonts w:hint="default" w:ascii="Symbol" w:hAnsi="Symbol"/>
      </w:rPr>
    </w:lvl>
  </w:abstractNum>
  <w:abstractNum w:abstractNumId="5">
    <w:nsid w:val="FFFFFF81"/>
    <w:multiLevelType w:val="singleLevel"/>
    <w:tmpl w:val="9C92179C"/>
    <w:lvl w:ilvl="0">
      <w:start w:val="1"/>
      <w:numFmt w:val="bullet"/>
      <w:lvlText w:val=""/>
      <w:lvlJc w:val="left"/>
      <w:pPr>
        <w:tabs>
          <w:tab w:val="num" w:pos="1209"/>
        </w:tabs>
        <w:ind w:left="1209" w:hanging="360"/>
      </w:pPr>
      <w:rPr>
        <w:rFonts w:hint="default" w:ascii="Symbol" w:hAnsi="Symbol"/>
      </w:rPr>
    </w:lvl>
  </w:abstractNum>
  <w:abstractNum w:abstractNumId="6">
    <w:nsid w:val="FFFFFF82"/>
    <w:multiLevelType w:val="singleLevel"/>
    <w:tmpl w:val="2C9A9BEC"/>
    <w:lvl w:ilvl="0">
      <w:start w:val="1"/>
      <w:numFmt w:val="bullet"/>
      <w:lvlText w:val=""/>
      <w:lvlJc w:val="left"/>
      <w:pPr>
        <w:tabs>
          <w:tab w:val="num" w:pos="926"/>
        </w:tabs>
        <w:ind w:left="926" w:hanging="360"/>
      </w:pPr>
      <w:rPr>
        <w:rFonts w:hint="default" w:ascii="Symbol" w:hAnsi="Symbol"/>
      </w:rPr>
    </w:lvl>
  </w:abstractNum>
  <w:abstractNum w:abstractNumId="7">
    <w:nsid w:val="FFFFFF83"/>
    <w:multiLevelType w:val="singleLevel"/>
    <w:tmpl w:val="76F27FF8"/>
    <w:lvl w:ilvl="0">
      <w:start w:val="1"/>
      <w:numFmt w:val="bullet"/>
      <w:lvlText w:val=""/>
      <w:lvlJc w:val="left"/>
      <w:pPr>
        <w:tabs>
          <w:tab w:val="num" w:pos="643"/>
        </w:tabs>
        <w:ind w:left="643" w:hanging="360"/>
      </w:pPr>
      <w:rPr>
        <w:rFonts w:hint="default" w:ascii="Symbol" w:hAnsi="Symbol"/>
      </w:rPr>
    </w:lvl>
  </w:abstractNum>
  <w:abstractNum w:abstractNumId="8">
    <w:nsid w:val="FFFFFF88"/>
    <w:multiLevelType w:val="singleLevel"/>
    <w:tmpl w:val="826CCC1A"/>
    <w:lvl w:ilvl="0">
      <w:start w:val="1"/>
      <w:numFmt w:val="decimal"/>
      <w:lvlText w:val="%1."/>
      <w:lvlJc w:val="left"/>
      <w:pPr>
        <w:tabs>
          <w:tab w:val="num" w:pos="360"/>
        </w:tabs>
        <w:ind w:left="360" w:hanging="360"/>
      </w:pPr>
    </w:lvl>
  </w:abstractNum>
  <w:abstractNum w:abstractNumId="9">
    <w:nsid w:val="FFFFFF89"/>
    <w:multiLevelType w:val="singleLevel"/>
    <w:tmpl w:val="233AECB4"/>
    <w:lvl w:ilvl="0">
      <w:start w:val="1"/>
      <w:numFmt w:val="bullet"/>
      <w:lvlText w:val=""/>
      <w:lvlJc w:val="left"/>
      <w:pPr>
        <w:tabs>
          <w:tab w:val="num" w:pos="360"/>
        </w:tabs>
        <w:ind w:left="360" w:hanging="360"/>
      </w:pPr>
      <w:rPr>
        <w:rFonts w:hint="default" w:ascii="Symbol" w:hAnsi="Symbol"/>
      </w:rPr>
    </w:lvl>
  </w:abstractNum>
  <w:abstractNum w:abstractNumId="10">
    <w:nsid w:val="00000001"/>
    <w:multiLevelType w:val="multilevel"/>
    <w:tmpl w:val="00000001"/>
    <w:name w:val="WWNum1"/>
    <w:lvl w:ilvl="0">
      <w:start w:val="1"/>
      <w:numFmt w:val="upperRoman"/>
      <w:lvlText w:val="%1."/>
      <w:lvlJc w:val="left"/>
      <w:pPr>
        <w:tabs>
          <w:tab w:val="num" w:pos="0"/>
        </w:tabs>
        <w:ind w:left="34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2"/>
    <w:multiLevelType w:val="multilevel"/>
    <w:tmpl w:val="00000002"/>
    <w:name w:val="WWNum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3"/>
    <w:multiLevelType w:val="multilevel"/>
    <w:tmpl w:val="00000003"/>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3">
    <w:nsid w:val="00000004"/>
    <w:multiLevelType w:val="multilevel"/>
    <w:tmpl w:val="00000004"/>
    <w:name w:val="WWNum11"/>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10DB596D"/>
    <w:multiLevelType w:val="hybridMultilevel"/>
    <w:tmpl w:val="D132EDD2"/>
    <w:lvl w:ilvl="0" w:tplc="6DE8EAB6">
      <w:start w:val="1"/>
      <w:numFmt w:val="decimal"/>
      <w:lvlText w:val="%1."/>
      <w:lvlJc w:val="left"/>
      <w:pPr>
        <w:ind w:left="720" w:hanging="360"/>
      </w:pPr>
      <w:rPr>
        <w:rFonts w:hint="default" w:ascii="Titillium Web" w:hAnsi="Titillium Web"/>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9344091"/>
    <w:multiLevelType w:val="hybridMultilevel"/>
    <w:tmpl w:val="00EA6D3E"/>
    <w:lvl w:ilvl="0" w:tplc="6DE8EAB6">
      <w:start w:val="1"/>
      <w:numFmt w:val="decimal"/>
      <w:lvlText w:val="%1."/>
      <w:lvlJc w:val="left"/>
      <w:pPr>
        <w:ind w:left="1080" w:hanging="360"/>
      </w:pPr>
      <w:rPr>
        <w:rFonts w:hint="default" w:ascii="Titillium Web" w:hAnsi="Titillium Web"/>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7">
    <w:nsid w:val="436F3E79"/>
    <w:multiLevelType w:val="hybridMultilevel"/>
    <w:tmpl w:val="00EA6D3E"/>
    <w:lvl w:ilvl="0" w:tplc="6DE8EAB6">
      <w:start w:val="1"/>
      <w:numFmt w:val="decimal"/>
      <w:lvlText w:val="%1."/>
      <w:lvlJc w:val="left"/>
      <w:pPr>
        <w:ind w:left="1080" w:hanging="360"/>
      </w:pPr>
      <w:rPr>
        <w:rFonts w:hint="default" w:ascii="Titillium Web" w:hAnsi="Titillium Web"/>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8">
    <w:nsid w:val="4E3A51B5"/>
    <w:multiLevelType w:val="multilevel"/>
    <w:tmpl w:val="5D5AA8E8"/>
    <w:styleLink w:val="odstavceosnova"/>
    <w:lvl w:ilvl="0">
      <w:start w:val="1"/>
      <w:numFmt w:val="decimal"/>
      <w:pStyle w:val="walnut-Odstavec1"/>
      <w:lvlText w:val="%1"/>
      <w:lvlJc w:val="left"/>
      <w:pPr>
        <w:ind w:left="567" w:hanging="567"/>
      </w:pPr>
      <w:rPr>
        <w:rFonts w:hint="default"/>
        <w:b/>
        <w:i w:val="false"/>
      </w:rPr>
    </w:lvl>
    <w:lvl w:ilvl="1">
      <w:start w:val="1"/>
      <w:numFmt w:val="decimal"/>
      <w:pStyle w:val="walnut-Odstavec2"/>
      <w:lvlText w:val="%1.%2"/>
      <w:lvlJc w:val="left"/>
      <w:pPr>
        <w:ind w:left="680" w:hanging="680"/>
      </w:pPr>
      <w:rPr>
        <w:rFonts w:hint="default"/>
        <w:b w:val="false"/>
        <w:i w:val="false"/>
      </w:rPr>
    </w:lvl>
    <w:lvl w:ilvl="2">
      <w:start w:val="1"/>
      <w:numFmt w:val="lowerLetter"/>
      <w:pStyle w:val="walnut-Odstavec3"/>
      <w:lvlText w:val="%3)"/>
      <w:lvlJc w:val="left"/>
      <w:pPr>
        <w:tabs>
          <w:tab w:val="num" w:pos="652"/>
        </w:tabs>
        <w:ind w:left="482" w:hanging="341"/>
      </w:pPr>
      <w:rPr>
        <w:rFonts w:hint="default" w:cs="Arial"/>
      </w:rPr>
    </w:lvl>
    <w:lvl w:ilvl="3">
      <w:numFmt w:val="bullet"/>
      <w:pStyle w:val="walnut-Odstavec4"/>
      <w:suff w:val="space"/>
      <w:lvlText w:val=""/>
      <w:lvlJc w:val="left"/>
      <w:pPr>
        <w:ind w:left="1134" w:hanging="170"/>
      </w:pPr>
      <w:rPr>
        <w:rFonts w:hint="default" w:ascii="Symbol" w:hAnsi="Symbol"/>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19">
    <w:nsid w:val="61E01D5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12"/>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9"/>
  </w:num>
  <w:num w:numId="35">
    <w:abstractNumId w:val="15"/>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52"/>
  <w:displayBackgroundShape/>
  <w:embedSystemFonts/>
  <w:stylePaneFormatFilter w:val="0004"/>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spidmax="2049" v:ext="edi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23"/>
    <w:rsid w:val="000129A0"/>
    <w:rsid w:val="000158D3"/>
    <w:rsid w:val="00022ECE"/>
    <w:rsid w:val="00030338"/>
    <w:rsid w:val="00047819"/>
    <w:rsid w:val="00073B63"/>
    <w:rsid w:val="000861CA"/>
    <w:rsid w:val="000C14A9"/>
    <w:rsid w:val="000C426D"/>
    <w:rsid w:val="000E7C52"/>
    <w:rsid w:val="000F08CA"/>
    <w:rsid w:val="0010574F"/>
    <w:rsid w:val="0010790E"/>
    <w:rsid w:val="0011390B"/>
    <w:rsid w:val="0012016E"/>
    <w:rsid w:val="00126C58"/>
    <w:rsid w:val="001304F0"/>
    <w:rsid w:val="00133D23"/>
    <w:rsid w:val="00162917"/>
    <w:rsid w:val="0016460B"/>
    <w:rsid w:val="00165F86"/>
    <w:rsid w:val="00171B08"/>
    <w:rsid w:val="00174324"/>
    <w:rsid w:val="001B357F"/>
    <w:rsid w:val="001B4625"/>
    <w:rsid w:val="001F5E6B"/>
    <w:rsid w:val="0023383F"/>
    <w:rsid w:val="002344CA"/>
    <w:rsid w:val="00260AB0"/>
    <w:rsid w:val="002909A9"/>
    <w:rsid w:val="002A1771"/>
    <w:rsid w:val="002A7C61"/>
    <w:rsid w:val="002A7E8F"/>
    <w:rsid w:val="002C1964"/>
    <w:rsid w:val="002C21B3"/>
    <w:rsid w:val="002D64D2"/>
    <w:rsid w:val="002E1C2C"/>
    <w:rsid w:val="00342F0E"/>
    <w:rsid w:val="003472FB"/>
    <w:rsid w:val="00361FB6"/>
    <w:rsid w:val="00364E35"/>
    <w:rsid w:val="003665EA"/>
    <w:rsid w:val="003719A3"/>
    <w:rsid w:val="00371C23"/>
    <w:rsid w:val="0037736F"/>
    <w:rsid w:val="003A4516"/>
    <w:rsid w:val="003A5C23"/>
    <w:rsid w:val="003C039C"/>
    <w:rsid w:val="003C19D1"/>
    <w:rsid w:val="003C6E70"/>
    <w:rsid w:val="003D13B5"/>
    <w:rsid w:val="003F1593"/>
    <w:rsid w:val="003F3919"/>
    <w:rsid w:val="00402838"/>
    <w:rsid w:val="0042453B"/>
    <w:rsid w:val="00455922"/>
    <w:rsid w:val="00472CAD"/>
    <w:rsid w:val="00477C4D"/>
    <w:rsid w:val="004A25CB"/>
    <w:rsid w:val="004B1270"/>
    <w:rsid w:val="004B6652"/>
    <w:rsid w:val="004D2A46"/>
    <w:rsid w:val="004D43D0"/>
    <w:rsid w:val="00500D68"/>
    <w:rsid w:val="0050690D"/>
    <w:rsid w:val="00514ACE"/>
    <w:rsid w:val="00523A44"/>
    <w:rsid w:val="00524FD3"/>
    <w:rsid w:val="00531E20"/>
    <w:rsid w:val="0053602D"/>
    <w:rsid w:val="005400B5"/>
    <w:rsid w:val="00552839"/>
    <w:rsid w:val="00565539"/>
    <w:rsid w:val="00576AB1"/>
    <w:rsid w:val="005845B1"/>
    <w:rsid w:val="005867A9"/>
    <w:rsid w:val="005A25D0"/>
    <w:rsid w:val="005B7C4D"/>
    <w:rsid w:val="005C0E79"/>
    <w:rsid w:val="005C41FA"/>
    <w:rsid w:val="00606DDE"/>
    <w:rsid w:val="006417FF"/>
    <w:rsid w:val="0068639F"/>
    <w:rsid w:val="006B1282"/>
    <w:rsid w:val="006B64AC"/>
    <w:rsid w:val="006D10BC"/>
    <w:rsid w:val="006E6C47"/>
    <w:rsid w:val="006F395B"/>
    <w:rsid w:val="007115BE"/>
    <w:rsid w:val="0071166E"/>
    <w:rsid w:val="007546A3"/>
    <w:rsid w:val="0076039E"/>
    <w:rsid w:val="007710D5"/>
    <w:rsid w:val="00782D8B"/>
    <w:rsid w:val="007841B2"/>
    <w:rsid w:val="007D0927"/>
    <w:rsid w:val="007E735F"/>
    <w:rsid w:val="007F0A50"/>
    <w:rsid w:val="00800BB5"/>
    <w:rsid w:val="008011A6"/>
    <w:rsid w:val="00806220"/>
    <w:rsid w:val="00821680"/>
    <w:rsid w:val="00831CED"/>
    <w:rsid w:val="008474AD"/>
    <w:rsid w:val="00896437"/>
    <w:rsid w:val="008968C1"/>
    <w:rsid w:val="008B0B84"/>
    <w:rsid w:val="008B3362"/>
    <w:rsid w:val="00901D59"/>
    <w:rsid w:val="00902CBA"/>
    <w:rsid w:val="009115F7"/>
    <w:rsid w:val="00980C92"/>
    <w:rsid w:val="00983BF7"/>
    <w:rsid w:val="00991617"/>
    <w:rsid w:val="00995AA0"/>
    <w:rsid w:val="009A5324"/>
    <w:rsid w:val="009C26A9"/>
    <w:rsid w:val="009C37FA"/>
    <w:rsid w:val="009F1AD7"/>
    <w:rsid w:val="009F6EDC"/>
    <w:rsid w:val="009F7B31"/>
    <w:rsid w:val="00A024F5"/>
    <w:rsid w:val="00A6133B"/>
    <w:rsid w:val="00A6261D"/>
    <w:rsid w:val="00A65DD1"/>
    <w:rsid w:val="00A92F97"/>
    <w:rsid w:val="00AA4949"/>
    <w:rsid w:val="00AA6E85"/>
    <w:rsid w:val="00AC0FA9"/>
    <w:rsid w:val="00AD07B9"/>
    <w:rsid w:val="00AE070E"/>
    <w:rsid w:val="00B05452"/>
    <w:rsid w:val="00B12525"/>
    <w:rsid w:val="00B17818"/>
    <w:rsid w:val="00B219D3"/>
    <w:rsid w:val="00B320DA"/>
    <w:rsid w:val="00BA52F0"/>
    <w:rsid w:val="00BB7BB9"/>
    <w:rsid w:val="00BC7EB9"/>
    <w:rsid w:val="00BD7EE8"/>
    <w:rsid w:val="00BF01D8"/>
    <w:rsid w:val="00C00641"/>
    <w:rsid w:val="00C20562"/>
    <w:rsid w:val="00C420D2"/>
    <w:rsid w:val="00C52BDA"/>
    <w:rsid w:val="00CC3728"/>
    <w:rsid w:val="00CD2069"/>
    <w:rsid w:val="00CE18A1"/>
    <w:rsid w:val="00CF24FA"/>
    <w:rsid w:val="00D023FF"/>
    <w:rsid w:val="00D071A5"/>
    <w:rsid w:val="00D11A9E"/>
    <w:rsid w:val="00D15764"/>
    <w:rsid w:val="00D360FD"/>
    <w:rsid w:val="00D511A9"/>
    <w:rsid w:val="00D52305"/>
    <w:rsid w:val="00DA42F5"/>
    <w:rsid w:val="00DB4574"/>
    <w:rsid w:val="00DC0224"/>
    <w:rsid w:val="00DC3B7D"/>
    <w:rsid w:val="00DF6CE8"/>
    <w:rsid w:val="00E038DA"/>
    <w:rsid w:val="00E21E28"/>
    <w:rsid w:val="00E41A19"/>
    <w:rsid w:val="00E47309"/>
    <w:rsid w:val="00E55920"/>
    <w:rsid w:val="00E75475"/>
    <w:rsid w:val="00E77E6C"/>
    <w:rsid w:val="00EB4C76"/>
    <w:rsid w:val="00EC24A3"/>
    <w:rsid w:val="00F006FB"/>
    <w:rsid w:val="00F46E95"/>
    <w:rsid w:val="00F67620"/>
    <w:rsid w:val="00F67D97"/>
    <w:rsid w:val="00F94E54"/>
    <w:rsid w:val="00F966B5"/>
    <w:rsid w:val="00FA1265"/>
    <w:rsid w:val="00FA33A6"/>
    <w:rsid w:val="00FA3C35"/>
    <w:rsid w:val="00FA49C5"/>
    <w:rsid w:val="00FB7C38"/>
    <w:rsid w:val="00FD60E9"/>
    <w:rsid w:val="00FF25B4"/>
    <w:rsid w:val="00FF62C8"/>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oNotEmbedSmartTags/>
  <w:decimalSymbol w:val=","/>
  <w:listSeparator w:val=";"/>
  <w15:chartTrackingRefBased/>
  <w14:docId w14:val="23A3A5E3"/>
  <w15:docId w15:val="{3C1DBBE2-F9EF-4A7E-A551-1F5E8302B43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99" w:defSemiHidden="false" w:defUnhideWhenUsed="false" w:defQFormat="false" w:count="382">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0"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3" w:semiHidden="true" w:unhideWhenUsed="true"/>
    <w:lsdException w:name="Balloon Text" w:semiHidden="true" w:unhideWhenUsed="true"/>
    <w:lsdException w:name="Table Grid" w:uiPriority="39"/>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atentStyles>
  <w:style w:type="paragraph" w:styleId="Normln" w:default="true">
    <w:name w:val="Normal"/>
    <w:qFormat/>
    <w:rsid w:val="005400B5"/>
    <w:pPr>
      <w:suppressAutoHyphens/>
      <w:spacing w:after="200" w:line="276" w:lineRule="auto"/>
    </w:pPr>
    <w:rPr>
      <w:rFonts w:ascii="Calibri" w:hAnsi="Calibri" w:eastAsia="SimSun" w:cs="Calibri"/>
      <w:kern w:val="1"/>
      <w:sz w:val="22"/>
      <w:szCs w:val="22"/>
      <w:lang w:eastAsia="ar-SA"/>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DefaultParagraphFont1" w:customStyle="true">
    <w:name w:val="Default Paragraph Font1"/>
  </w:style>
  <w:style w:type="character" w:styleId="ZhlavChar" w:customStyle="true">
    <w:name w:val="Záhlaví Char"/>
    <w:basedOn w:val="DefaultParagraphFont1"/>
  </w:style>
  <w:style w:type="character" w:styleId="ZpatChar" w:customStyle="true">
    <w:name w:val="Zápatí Char"/>
    <w:basedOn w:val="DefaultParagraphFont1"/>
  </w:style>
  <w:style w:type="character" w:styleId="TextbublinyChar" w:customStyle="true">
    <w:name w:val="Text bubliny Char"/>
    <w:rPr>
      <w:rFonts w:ascii="Tahoma" w:hAnsi="Tahoma" w:cs="Tahoma"/>
      <w:sz w:val="16"/>
      <w:szCs w:val="16"/>
    </w:rPr>
  </w:style>
  <w:style w:type="character" w:styleId="ListLabel1" w:customStyle="true">
    <w:name w:val="ListLabel 1"/>
    <w:rPr>
      <w:rFonts w:cs="Times New Roman"/>
      <w:sz w:val="22"/>
    </w:rPr>
  </w:style>
  <w:style w:type="character" w:styleId="ListLabel2" w:customStyle="true">
    <w:name w:val="ListLabel 2"/>
    <w:rPr>
      <w:rFonts w:cs="Calibri"/>
    </w:rPr>
  </w:style>
  <w:style w:type="character" w:styleId="ListLabel3" w:customStyle="true">
    <w:name w:val="ListLabel 3"/>
    <w:rPr>
      <w:rFonts w:cs="Courier New"/>
    </w:rPr>
  </w:style>
  <w:style w:type="character" w:styleId="ListLabel4" w:customStyle="true">
    <w:name w:val="ListLabel 4"/>
    <w:rPr>
      <w:b/>
    </w:rPr>
  </w:style>
  <w:style w:type="character" w:styleId="ListLabel5" w:customStyle="true">
    <w:name w:val="ListLabel 5"/>
    <w:rPr>
      <w:rFonts w:cs="Calibri"/>
      <w:b/>
    </w:rPr>
  </w:style>
  <w:style w:type="paragraph" w:styleId="Nadpis" w:customStyle="true">
    <w:name w:val="Nadpis"/>
    <w:basedOn w:val="Normln"/>
    <w:next w:val="Normln"/>
    <w:pPr>
      <w:keepNext/>
      <w:spacing w:before="240" w:after="120"/>
    </w:pPr>
    <w:rPr>
      <w:rFonts w:ascii="Arial" w:hAnsi="Arial" w:eastAsia="Microsoft YaHei" w:cs="Mangal"/>
      <w:sz w:val="28"/>
      <w:szCs w:val="28"/>
    </w:rPr>
  </w:style>
  <w:style w:type="paragraph" w:styleId="walnut-Nadpis1" w:customStyle="true">
    <w:name w:val="walnut - Nadpis 1"/>
    <w:next w:val="walnut-Odstavec1"/>
    <w:qFormat/>
    <w:rsid w:val="005400B5"/>
    <w:pPr>
      <w:ind w:left="567"/>
      <w:jc w:val="center"/>
    </w:pPr>
    <w:rPr>
      <w:rFonts w:eastAsia="Andale Sans UI" w:cs="Tahoma" w:asciiTheme="majorHAnsi" w:hAnsiTheme="majorHAnsi"/>
      <w:b/>
      <w:kern w:val="3"/>
      <w:sz w:val="52"/>
      <w:szCs w:val="24"/>
      <w:lang w:eastAsia="ja-JP" w:bidi="fa-IR"/>
    </w:rPr>
  </w:style>
  <w:style w:type="paragraph" w:styleId="Seznam">
    <w:name w:val="List"/>
    <w:basedOn w:val="Normln"/>
    <w:rsid w:val="005400B5"/>
    <w:pPr>
      <w:spacing w:after="120"/>
    </w:pPr>
    <w:rPr>
      <w:rFonts w:cs="Mangal"/>
    </w:rPr>
  </w:style>
  <w:style w:type="paragraph" w:styleId="walnut-Nadpis1-textpod" w:customStyle="true">
    <w:name w:val="walnut - Nadpis 1 - text pod"/>
    <w:basedOn w:val="walnut-Nadpis1"/>
    <w:qFormat/>
    <w:rsid w:val="005400B5"/>
    <w:pPr>
      <w:ind w:hanging="567"/>
    </w:pPr>
    <w:rPr>
      <w:b w:val="false"/>
      <w:sz w:val="22"/>
    </w:rPr>
  </w:style>
  <w:style w:type="paragraph" w:styleId="walnut-Odstavec1" w:customStyle="true">
    <w:name w:val="walnut - Odstavec 1"/>
    <w:basedOn w:val="Normln"/>
    <w:rsid w:val="005400B5"/>
    <w:pPr>
      <w:numPr>
        <w:numId w:val="28"/>
      </w:numPr>
      <w:suppressAutoHyphens w:val="false"/>
      <w:spacing w:before="227" w:after="57" w:line="240" w:lineRule="auto"/>
      <w:jc w:val="both"/>
      <w:outlineLvl w:val="1"/>
    </w:pPr>
    <w:rPr>
      <w:rFonts w:cs="Tahoma" w:eastAsiaTheme="minorHAnsi"/>
      <w:b/>
      <w:kern w:val="0"/>
      <w:szCs w:val="24"/>
      <w:lang w:eastAsia="en-US"/>
    </w:rPr>
  </w:style>
  <w:style w:type="paragraph" w:styleId="Zhlav">
    <w:name w:val="header"/>
    <w:basedOn w:val="Normln"/>
    <w:pPr>
      <w:suppressLineNumbers/>
      <w:tabs>
        <w:tab w:val="center" w:pos="4536"/>
        <w:tab w:val="right" w:pos="9072"/>
      </w:tabs>
      <w:spacing w:after="0" w:line="100" w:lineRule="atLeast"/>
    </w:pPr>
  </w:style>
  <w:style w:type="paragraph" w:styleId="Zpat">
    <w:name w:val="footer"/>
    <w:basedOn w:val="Normln"/>
    <w:pPr>
      <w:suppressLineNumbers/>
      <w:tabs>
        <w:tab w:val="center" w:pos="4536"/>
        <w:tab w:val="right" w:pos="9072"/>
      </w:tabs>
      <w:spacing w:after="0" w:line="100" w:lineRule="atLeast"/>
    </w:pPr>
  </w:style>
  <w:style w:type="paragraph" w:styleId="walnut-Odstavec2" w:customStyle="true">
    <w:name w:val="walnut - Odstavec 2"/>
    <w:basedOn w:val="Normln"/>
    <w:rsid w:val="005400B5"/>
    <w:pPr>
      <w:numPr>
        <w:ilvl w:val="1"/>
        <w:numId w:val="28"/>
      </w:numPr>
      <w:suppressAutoHyphens w:val="false"/>
      <w:spacing w:after="57" w:line="240" w:lineRule="auto"/>
      <w:jc w:val="both"/>
      <w:outlineLvl w:val="2"/>
    </w:pPr>
    <w:rPr>
      <w:rFonts w:cs="Tahoma" w:eastAsiaTheme="minorHAnsi"/>
      <w:kern w:val="0"/>
      <w:szCs w:val="24"/>
      <w:lang w:eastAsia="en-US"/>
    </w:rPr>
  </w:style>
  <w:style w:type="paragraph" w:styleId="ListParagraph1" w:customStyle="true">
    <w:name w:val="List Paragraph1"/>
    <w:basedOn w:val="Normln"/>
    <w:pPr>
      <w:ind w:left="720"/>
    </w:pPr>
  </w:style>
  <w:style w:type="paragraph" w:styleId="walnut-Odstavec3" w:customStyle="true">
    <w:name w:val="walnut - Odstavec 3"/>
    <w:basedOn w:val="Normln"/>
    <w:rsid w:val="005400B5"/>
    <w:pPr>
      <w:numPr>
        <w:ilvl w:val="2"/>
        <w:numId w:val="28"/>
      </w:numPr>
      <w:tabs>
        <w:tab w:val="clear" w:pos="652"/>
        <w:tab w:val="num" w:pos="1191"/>
      </w:tabs>
      <w:suppressAutoHyphens w:val="false"/>
      <w:spacing w:after="57" w:line="240" w:lineRule="auto"/>
      <w:ind w:left="1021"/>
      <w:jc w:val="both"/>
      <w:outlineLvl w:val="3"/>
    </w:pPr>
    <w:rPr>
      <w:rFonts w:cs="Tahoma" w:eastAsiaTheme="minorHAnsi"/>
      <w:kern w:val="0"/>
      <w:szCs w:val="24"/>
      <w:lang w:eastAsia="en-US"/>
    </w:rPr>
  </w:style>
  <w:style w:type="paragraph" w:styleId="NoSpacing1" w:customStyle="true">
    <w:name w:val="No Spacing1"/>
    <w:pPr>
      <w:suppressAutoHyphens/>
      <w:spacing w:line="100" w:lineRule="atLeast"/>
    </w:pPr>
    <w:rPr>
      <w:rFonts w:ascii="Calibri" w:hAnsi="Calibri" w:eastAsia="SimSun" w:cs="Calibri"/>
      <w:kern w:val="1"/>
      <w:sz w:val="22"/>
      <w:szCs w:val="22"/>
      <w:lang w:eastAsia="ar-SA"/>
    </w:rPr>
  </w:style>
  <w:style w:type="paragraph" w:styleId="Odstavecseseznamem">
    <w:name w:val="List Paragraph"/>
    <w:basedOn w:val="Normln"/>
    <w:uiPriority w:val="34"/>
    <w:qFormat/>
    <w:rsid w:val="00371C23"/>
    <w:pPr>
      <w:ind w:left="708"/>
    </w:pPr>
  </w:style>
  <w:style w:type="paragraph" w:styleId="Nadpistitulnmaltext" w:customStyle="true">
    <w:name w:val="Nadpis titulní malý text"/>
    <w:basedOn w:val="Normln"/>
    <w:rsid w:val="005400B5"/>
    <w:pPr>
      <w:widowControl w:val="false"/>
      <w:autoSpaceDN w:val="false"/>
      <w:spacing w:after="0" w:line="240" w:lineRule="auto"/>
      <w:jc w:val="center"/>
      <w:textAlignment w:val="baseline"/>
    </w:pPr>
    <w:rPr>
      <w:rFonts w:eastAsia="Andale Sans UI" w:cs="Tahoma"/>
      <w:kern w:val="3"/>
      <w:sz w:val="24"/>
      <w:szCs w:val="24"/>
      <w:lang w:eastAsia="ja-JP" w:bidi="fa-IR"/>
    </w:rPr>
  </w:style>
  <w:style w:type="paragraph" w:styleId="MVtextpodnadpisem1" w:customStyle="true">
    <w:name w:val="MV text pod nadpisem 1"/>
    <w:basedOn w:val="Normln"/>
    <w:rsid w:val="005400B5"/>
    <w:pPr>
      <w:widowControl w:val="false"/>
      <w:autoSpaceDN w:val="false"/>
      <w:spacing w:after="120" w:line="240" w:lineRule="auto"/>
      <w:jc w:val="center"/>
      <w:textAlignment w:val="baseline"/>
    </w:pPr>
    <w:rPr>
      <w:rFonts w:eastAsia="Andale Sans UI"/>
      <w:kern w:val="3"/>
      <w:sz w:val="24"/>
      <w:szCs w:val="24"/>
      <w:lang w:eastAsia="ja-JP" w:bidi="fa-IR"/>
    </w:rPr>
  </w:style>
  <w:style w:type="paragraph" w:styleId="walnut-Odstavec4" w:customStyle="true">
    <w:name w:val="walnut - Odstavec 4"/>
    <w:basedOn w:val="Normln"/>
    <w:rsid w:val="005400B5"/>
    <w:pPr>
      <w:numPr>
        <w:ilvl w:val="3"/>
        <w:numId w:val="28"/>
      </w:numPr>
      <w:suppressAutoHyphens w:val="false"/>
      <w:spacing w:after="0" w:line="240" w:lineRule="auto"/>
      <w:jc w:val="both"/>
      <w:outlineLvl w:val="4"/>
    </w:pPr>
    <w:rPr>
      <w:rFonts w:cs="Tahoma" w:eastAsiaTheme="minorHAnsi"/>
      <w:kern w:val="0"/>
      <w:szCs w:val="24"/>
      <w:lang w:eastAsia="en-US"/>
    </w:rPr>
  </w:style>
  <w:style w:type="table" w:styleId="walnut-tabulka" w:customStyle="true">
    <w:name w:val="walnut - tabulka"/>
    <w:basedOn w:val="Normlntabulka"/>
    <w:uiPriority w:val="99"/>
    <w:rsid w:val="005400B5"/>
    <w:rPr>
      <w:rFonts w:cs="Tahoma" w:eastAsiaTheme="minorHAnsi"/>
      <w:sz w:val="24"/>
      <w:szCs w:val="24"/>
      <w:lang w:eastAsia="en-US"/>
    </w:rPr>
    <w:tblPr>
      <w:tblInd w:w="0" w:type="dxa"/>
      <w:tblBorders>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Walnut-tabulka0" w:customStyle="true">
    <w:name w:val="Walnut - tabulka"/>
    <w:basedOn w:val="Normlntabulka"/>
    <w:uiPriority w:val="99"/>
    <w:rsid w:val="00901D59"/>
    <w:rPr>
      <w:rFonts w:ascii="Calibri" w:hAnsi="Calibri" w:cs="Tahoma" w:eastAsiaTheme="minorHAnsi"/>
      <w:sz w:val="24"/>
      <w:szCs w:val="24"/>
      <w:lang w:eastAsia="en-US"/>
    </w:rPr>
    <w:tblPr>
      <w:tblStyleRowBandSize w:val="1"/>
      <w:tblInd w:w="0" w:type="dxa"/>
      <w:tblCellMar>
        <w:top w:w="0" w:type="dxa"/>
        <w:left w:w="108" w:type="dxa"/>
        <w:bottom w:w="0" w:type="dxa"/>
        <w:right w:w="108" w:type="dxa"/>
      </w:tblCellMar>
    </w:tblPr>
    <w:tcPr>
      <w:shd w:val="clear" w:color="auto" w:fill="F0F4FA"/>
      <w:vAlign w:val="center"/>
    </w:tcPr>
    <w:tblStylePr w:type="firstRow">
      <w:rPr>
        <w:b/>
      </w:rPr>
      <w:tblPr/>
      <w:tcPr>
        <w:shd w:val="clear" w:color="auto" w:fill="B4C6E7" w:themeFill="accent5" w:themeFillTint="66"/>
      </w:tcPr>
    </w:tblStylePr>
    <w:tblStylePr w:type="band2Horz">
      <w:tblPr/>
      <w:tcPr>
        <w:shd w:val="clear" w:color="auto" w:fill="FFFFFF" w:themeFill="background1"/>
      </w:tcPr>
    </w:tblStylePr>
  </w:style>
  <w:style w:type="numbering" w:styleId="odstavceosnova" w:customStyle="true">
    <w:name w:val="odstavce osnova"/>
    <w:uiPriority w:val="99"/>
    <w:rsid w:val="005400B5"/>
    <w:pPr>
      <w:numPr>
        <w:numId w:val="16"/>
      </w:numPr>
    </w:pPr>
  </w:style>
  <w:style w:type="table" w:styleId="walnut-tabulkavertikal" w:customStyle="true">
    <w:name w:val="walnut - tabulka vertikal"/>
    <w:basedOn w:val="Walnut-tabulka0"/>
    <w:uiPriority w:val="99"/>
    <w:rsid w:val="0011390B"/>
    <w:rPr>
      <w:sz w:val="22"/>
    </w:rPr>
    <w:tblPr>
      <w:tblStyleRowBandSize w:val="1"/>
      <w:tblInd w:w="0" w:type="dxa"/>
      <w:tblCellMar>
        <w:top w:w="0" w:type="dxa"/>
        <w:left w:w="108" w:type="dxa"/>
        <w:bottom w:w="0" w:type="dxa"/>
        <w:right w:w="108" w:type="dxa"/>
      </w:tblCellMar>
    </w:tblPr>
    <w:tcPr>
      <w:shd w:val="clear" w:color="auto" w:fill="F0F4FA"/>
      <w:vAlign w:val="center"/>
    </w:tcPr>
    <w:tblStylePr w:type="firstRow">
      <w:rPr>
        <w:b/>
      </w:rPr>
      <w:tblPr/>
      <w:tcPr>
        <w:shd w:val="clear" w:color="auto" w:fill="D9E2F3" w:themeFill="accent5" w:themeFillTint="33"/>
      </w:tcPr>
    </w:tblStylePr>
    <w:tblStylePr w:type="firstCol">
      <w:tblPr/>
      <w:tcPr>
        <w:shd w:val="clear" w:color="auto" w:fill="B4C6E7" w:themeFill="accent5" w:themeFillTint="66"/>
      </w:tcPr>
    </w:tblStylePr>
    <w:tblStylePr w:type="band2Horz">
      <w:tblPr/>
      <w:tcPr>
        <w:shd w:val="clear" w:color="auto" w:fill="FFFFFF" w:themeFill="background1"/>
      </w:tcPr>
    </w:tblStylePr>
  </w:style>
  <w:style w:type="table" w:styleId="Mkatabulky">
    <w:name w:val="Table Grid"/>
    <w:basedOn w:val="Normlntabulka"/>
    <w:uiPriority w:val="39"/>
    <w:rsid w:val="00C420D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Standard" w:customStyle="true">
    <w:name w:val="Standard"/>
    <w:rsid w:val="009F1AD7"/>
    <w:pPr>
      <w:widowControl w:val="false"/>
      <w:suppressAutoHyphens/>
      <w:autoSpaceDN w:val="false"/>
      <w:textAlignment w:val="baseline"/>
    </w:pPr>
    <w:rPr>
      <w:rFonts w:eastAsia="Andale Sans UI" w:cs="Tahoma"/>
      <w:kern w:val="3"/>
      <w:sz w:val="24"/>
      <w:szCs w:val="24"/>
      <w:lang w:eastAsia="ja-JP" w:bidi="fa-IR"/>
    </w:rPr>
  </w:style>
  <w:style w:type="paragraph" w:styleId="MVbntext" w:customStyle="true">
    <w:name w:val="MV_běžný text"/>
    <w:basedOn w:val="Normln"/>
    <w:rsid w:val="009F1AD7"/>
    <w:pPr>
      <w:widowControl w:val="false"/>
      <w:autoSpaceDN w:val="false"/>
      <w:spacing w:after="120" w:line="240" w:lineRule="auto"/>
      <w:jc w:val="both"/>
      <w:textAlignment w:val="baseline"/>
    </w:pPr>
    <w:rPr>
      <w:rFonts w:eastAsia="Andale Sans UI"/>
      <w:kern w:val="3"/>
      <w:sz w:val="24"/>
      <w:szCs w:val="24"/>
      <w:lang w:eastAsia="ja-JP" w:bidi="fa-IR"/>
    </w:rPr>
  </w:style>
  <w:style w:type="character" w:styleId="Odkaznakoment">
    <w:name w:val="annotation reference"/>
    <w:basedOn w:val="Standardnpsmoodstavce"/>
    <w:uiPriority w:val="99"/>
    <w:semiHidden/>
    <w:unhideWhenUsed/>
    <w:rsid w:val="00FA3C35"/>
    <w:rPr>
      <w:sz w:val="16"/>
      <w:szCs w:val="16"/>
    </w:rPr>
  </w:style>
  <w:style w:type="paragraph" w:styleId="Textkomente">
    <w:name w:val="annotation text"/>
    <w:basedOn w:val="Normln"/>
    <w:link w:val="TextkomenteChar"/>
    <w:uiPriority w:val="99"/>
    <w:semiHidden/>
    <w:unhideWhenUsed/>
    <w:rsid w:val="00FA3C35"/>
    <w:pPr>
      <w:spacing w:line="240" w:lineRule="auto"/>
    </w:pPr>
    <w:rPr>
      <w:sz w:val="20"/>
      <w:szCs w:val="20"/>
    </w:rPr>
  </w:style>
  <w:style w:type="character" w:styleId="TextkomenteChar" w:customStyle="true">
    <w:name w:val="Text komentáře Char"/>
    <w:basedOn w:val="Standardnpsmoodstavce"/>
    <w:link w:val="Textkomente"/>
    <w:uiPriority w:val="99"/>
    <w:semiHidden/>
    <w:rsid w:val="00FA3C35"/>
    <w:rPr>
      <w:rFonts w:ascii="Calibri" w:hAnsi="Calibri" w:eastAsia="SimSun" w:cs="Calibri"/>
      <w:kern w:val="1"/>
      <w:lang w:eastAsia="ar-SA"/>
    </w:rPr>
  </w:style>
  <w:style w:type="paragraph" w:styleId="Pedmtkomente">
    <w:name w:val="annotation subject"/>
    <w:basedOn w:val="Textkomente"/>
    <w:next w:val="Textkomente"/>
    <w:link w:val="PedmtkomenteChar"/>
    <w:uiPriority w:val="99"/>
    <w:semiHidden/>
    <w:unhideWhenUsed/>
    <w:rsid w:val="00FA3C35"/>
    <w:rPr>
      <w:b/>
      <w:bCs/>
    </w:rPr>
  </w:style>
  <w:style w:type="character" w:styleId="PedmtkomenteChar" w:customStyle="true">
    <w:name w:val="Předmět komentáře Char"/>
    <w:basedOn w:val="TextkomenteChar"/>
    <w:link w:val="Pedmtkomente"/>
    <w:uiPriority w:val="99"/>
    <w:semiHidden/>
    <w:rsid w:val="00FA3C35"/>
    <w:rPr>
      <w:rFonts w:ascii="Calibri" w:hAnsi="Calibri" w:eastAsia="SimSun" w:cs="Calibri"/>
      <w:b/>
      <w:bCs/>
      <w:kern w:val="1"/>
      <w:lang w:eastAsia="ar-SA"/>
    </w:rPr>
  </w:style>
  <w:style w:type="paragraph" w:styleId="Textbubliny">
    <w:name w:val="Balloon Text"/>
    <w:basedOn w:val="Normln"/>
    <w:link w:val="TextbublinyChar1"/>
    <w:uiPriority w:val="99"/>
    <w:semiHidden/>
    <w:unhideWhenUsed/>
    <w:rsid w:val="00FA3C35"/>
    <w:pPr>
      <w:spacing w:after="0" w:line="240" w:lineRule="auto"/>
    </w:pPr>
    <w:rPr>
      <w:rFonts w:ascii="Segoe UI" w:hAnsi="Segoe UI" w:cs="Segoe UI"/>
      <w:sz w:val="18"/>
      <w:szCs w:val="18"/>
    </w:rPr>
  </w:style>
  <w:style w:type="character" w:styleId="TextbublinyChar1" w:customStyle="true">
    <w:name w:val="Text bubliny Char1"/>
    <w:basedOn w:val="Standardnpsmoodstavce"/>
    <w:link w:val="Textbubliny"/>
    <w:uiPriority w:val="99"/>
    <w:semiHidden/>
    <w:rsid w:val="00FA3C35"/>
    <w:rPr>
      <w:rFonts w:ascii="Segoe UI" w:hAnsi="Segoe UI" w:eastAsia="SimSun" w:cs="Segoe UI"/>
      <w:kern w:val="1"/>
      <w:sz w:val="18"/>
      <w:szCs w:val="18"/>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87868972">
      <w:bodyDiv w:val="true"/>
      <w:marLeft w:val="0"/>
      <w:marRight w:val="0"/>
      <w:marTop w:val="0"/>
      <w:marBottom w:val="0"/>
      <w:divBdr>
        <w:top w:val="none" w:color="auto" w:sz="0" w:space="0"/>
        <w:left w:val="none" w:color="auto" w:sz="0" w:space="0"/>
        <w:bottom w:val="none" w:color="auto" w:sz="0" w:space="0"/>
        <w:right w:val="none" w:color="auto" w:sz="0" w:space="0"/>
      </w:divBdr>
    </w:div>
    <w:div w:id="814681821">
      <w:bodyDiv w:val="true"/>
      <w:marLeft w:val="0"/>
      <w:marRight w:val="0"/>
      <w:marTop w:val="0"/>
      <w:marBottom w:val="0"/>
      <w:divBdr>
        <w:top w:val="none" w:color="auto" w:sz="0" w:space="0"/>
        <w:left w:val="none" w:color="auto" w:sz="0" w:space="0"/>
        <w:bottom w:val="none" w:color="auto" w:sz="0" w:space="0"/>
        <w:right w:val="none" w:color="auto" w:sz="0" w:space="0"/>
      </w:divBdr>
    </w:div>
    <w:div w:id="1440175047">
      <w:bodyDiv w:val="true"/>
      <w:marLeft w:val="0"/>
      <w:marRight w:val="0"/>
      <w:marTop w:val="0"/>
      <w:marBottom w:val="0"/>
      <w:divBdr>
        <w:top w:val="none" w:color="auto" w:sz="0" w:space="0"/>
        <w:left w:val="none" w:color="auto" w:sz="0" w:space="0"/>
        <w:bottom w:val="none" w:color="auto" w:sz="0" w:space="0"/>
        <w:right w:val="none" w:color="auto" w:sz="0" w:space="0"/>
      </w:divBdr>
    </w:div>
    <w:div w:id="1930961013">
      <w:bodyDiv w:val="true"/>
      <w:marLeft w:val="0"/>
      <w:marRight w:val="0"/>
      <w:marTop w:val="0"/>
      <w:marBottom w:val="0"/>
      <w:divBdr>
        <w:top w:val="none" w:color="auto" w:sz="0" w:space="0"/>
        <w:left w:val="none" w:color="auto" w:sz="0" w:space="0"/>
        <w:bottom w:val="none" w:color="auto" w:sz="0" w:space="0"/>
        <w:right w:val="none" w:color="auto" w:sz="0" w:space="0"/>
      </w:divBdr>
    </w:div>
    <w:div w:id="209866905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doNotSaveAsSingleFile/>
</w:webSettings>
</file>

<file path=word/_rels/document.xml.rels><?xml version="1.0" encoding="UTF-8" standalone="yes"?>
<Relationships xmlns="http://schemas.openxmlformats.org/package/2006/relationships">
    <Relationship Target="styles.xml" Type="http://schemas.openxmlformats.org/officeDocument/2006/relationships/styles" Id="rId3"/>
    <Relationship Target="settings.xml" Type="http://schemas.openxmlformats.org/officeDocument/2006/relationships/settings" Id="rId4"/>
    <Relationship Target="webSettings.xml" Type="http://schemas.openxmlformats.org/officeDocument/2006/relationships/webSettings" Id="rId5"/>
    <Relationship Target="footnotes.xml" Type="http://schemas.openxmlformats.org/officeDocument/2006/relationships/footnotes" Id="rId6"/>
    <Relationship Target="endnotes.xml" Type="http://schemas.openxmlformats.org/officeDocument/2006/relationships/endnotes" Id="rId7"/>
    <Relationship Target="header1.xml" Type="http://schemas.openxmlformats.org/officeDocument/2006/relationships/header" Id="rId8"/>
    <Relationship Target="fontTable.xml" Type="http://schemas.openxmlformats.org/officeDocument/2006/relationships/fontTable" Id="rId9"/>
    <Relationship Target="theme/theme1.xml" Type="http://schemas.openxmlformats.org/officeDocument/2006/relationships/theme" Id="rId10"/>
    <Relationship Target="../customXml/item1.xml" Type="http://schemas.openxmlformats.org/officeDocument/2006/relationships/customXml" Id="rId1"/>
    <Relationship Target="numbering.xml" Type="http://schemas.openxmlformats.org/officeDocument/2006/relationships/numbering" Id="rId2"/>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0CE7D9F-A9BC-2F4B-B9DB-EA3C7DEB7F9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8</properties:Pages>
  <properties:Words>2840</properties:Words>
  <properties:Characters>16760</properties:Characters>
  <properties:Lines>139</properties:Lines>
  <properties:Paragraphs>39</properties:Paragraphs>
  <properties:TotalTime>11</properties:TotalTime>
  <properties:ScaleCrop>false</properties:ScaleCrop>
  <properties:HeadingPairs>
    <vt:vector baseType="variant" size="2">
      <vt:variant>
        <vt:lpstr>Oslovení</vt:lpstr>
      </vt:variant>
      <vt:variant>
        <vt:i4>1</vt:i4>
      </vt:variant>
    </vt:vector>
  </properties:HeadingPairs>
  <properties:TitlesOfParts>
    <vt:vector baseType="lpstr" size="1">
      <vt:lpstr/>
    </vt:vector>
  </properties:TitlesOfParts>
  <properties:LinksUpToDate>false</properties:LinksUpToDate>
  <properties:CharactersWithSpaces>19561</properties:CharactersWithSpaces>
  <properties:SharedDoc>false</properties:SharedDoc>
  <properties:HyperlinksChanged>false</properties:HyperlinksChanged>
  <properties:Application>Microsoft Macintosh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2017-05-23T13:22:00Z</dcterms:created>
  <dc:creator/>
  <cp:keywords/>
  <cp:lastModifiedBy/>
  <cp:lastPrinted>1899-12-31T23:00:00Z</cp:lastPrinted>
  <dcterms:modified xmlns:xsi="http://www.w3.org/2001/XMLSchema-instance" xsi:type="dcterms:W3CDTF">2017-05-24T06:41:00Z</dcterms:modified>
  <cp:revision>4</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AppVersion">
    <vt:lpwstr>12.0000</vt:lpwstr>
  </prop:property>
  <prop:property fmtid="{D5CDD505-2E9C-101B-9397-08002B2CF9AE}" pid="3" name="DocSecurity">
    <vt:i4>0</vt:i4>
  </prop:property>
  <prop:property fmtid="{D5CDD505-2E9C-101B-9397-08002B2CF9AE}" pid="4" name="HyperlinksChanged">
    <vt:bool>true</vt:bool>
  </prop:property>
  <prop:property fmtid="{D5CDD505-2E9C-101B-9397-08002B2CF9AE}" pid="5" name="LinksUpToDate">
    <vt:bool>true</vt:bool>
  </prop:property>
  <prop:property fmtid="{D5CDD505-2E9C-101B-9397-08002B2CF9AE}" pid="6" name="ScaleCrop">
    <vt:bool>true</vt:bool>
  </prop:property>
  <prop:property fmtid="{D5CDD505-2E9C-101B-9397-08002B2CF9AE}" pid="7" name="ShareDoc">
    <vt:bool>true</vt:bool>
  </prop:property>
</prop:Properties>
</file>