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36367C" w:rsidR="0036367C">
        <w:rPr>
          <w:rFonts w:cs="Tahoma" w:asciiTheme="minorHAnsi" w:hAnsiTheme="minorHAnsi"/>
          <w:b/>
          <w:sz w:val="22"/>
          <w:szCs w:val="22"/>
        </w:rPr>
        <w:t>Nákup rekvalifikačních kurzů</w:t>
      </w:r>
      <w:r w:rsidR="004740DB">
        <w:rPr>
          <w:rFonts w:cs="Tahoma" w:asciiTheme="minorHAnsi" w:hAnsiTheme="minorHAnsi"/>
          <w:b/>
          <w:sz w:val="22"/>
          <w:szCs w:val="22"/>
        </w:rPr>
        <w:t xml:space="preserve"> II</w:t>
      </w:r>
      <w:bookmarkStart w:name="_GoBack" w:id="0"/>
      <w:bookmarkEnd w:id="0"/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6.1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C14B5" w:rsidP="002A2FED" w:rsidRDefault="009C14B5">
      <w:pPr>
        <w:spacing w:after="0" w:line="240" w:lineRule="auto"/>
      </w:pPr>
      <w:r>
        <w:separator/>
      </w:r>
    </w:p>
  </w:endnote>
  <w:endnote w:type="continuationSeparator" w:id="0">
    <w:p w:rsidR="009C14B5" w:rsidP="002A2FED" w:rsidRDefault="009C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C14B5" w:rsidP="002A2FED" w:rsidRDefault="009C14B5">
      <w:pPr>
        <w:spacing w:after="0" w:line="240" w:lineRule="auto"/>
      </w:pPr>
      <w:r>
        <w:separator/>
      </w:r>
    </w:p>
  </w:footnote>
  <w:footnote w:type="continuationSeparator" w:id="0">
    <w:p w:rsidR="009C14B5" w:rsidP="002A2FED" w:rsidRDefault="009C14B5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7216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74676" w:rsidR="0036367C" w:rsidP="0036367C" w:rsidRDefault="0036367C">
                          <w:pPr>
                            <w:spacing w:after="0"/>
                            <w:ind w:right="-11"/>
                            <w:jc w:val="right"/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</w:pPr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4 zadávací dokumentace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Čestné prohlášení o splnění podmínek základní způsobilosti 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Pr="00D74676" w:rsidR="0036367C" w:rsidP="0036367C" w:rsidRDefault="0036367C">
                    <w:pPr>
                      <w:spacing w:after="0"/>
                      <w:ind w:right="-11"/>
                      <w:jc w:val="right"/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</w:pPr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EDU </w:t>
                    </w:r>
                    <w:proofErr w:type="gram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institut, </w:t>
                    </w:r>
                    <w:proofErr w:type="spell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z.s</w:t>
                    </w:r>
                    <w:proofErr w:type="spellEnd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zadávací dokumentace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 xml:space="preserve">Čestné prohlášení o splnění podmínek základní způsobilosti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4740DB"/>
    <w:rsid w:val="00677B7E"/>
    <w:rsid w:val="009C14B5"/>
    <w:rsid w:val="00AD77FF"/>
    <w:rsid w:val="00C26AD4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CE6D2AF-E6FF-430C-8B00-2DB09A9C4F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467</properties:Words>
  <properties:Characters>2761</properties:Characters>
  <properties:Lines>23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2018-07-17T11:05:00Z</dcterms:modified>
  <cp:revision>4</cp:revision>
</cp:coreProperties>
</file>