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37F96" w:rsidR="00E37F96" w:rsidP="00E37F96" w:rsidRDefault="00E37F96" w14:paraId="3D015A96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Times New Roman"/>
        </w:rPr>
        <w:t>Podmínky použití podpory z Operačního programu Zaměstnanost (dále jen „Podmínky“)</w:t>
      </w:r>
    </w:p>
    <w:p w:rsidRPr="00E37F96" w:rsidR="00E37F96" w:rsidP="00E37F96" w:rsidRDefault="00E37F96" w14:paraId="77FCF28C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 xml:space="preserve">Česká republika – Ministerstvo práce a sociálních věcí </w:t>
      </w:r>
    </w:p>
    <w:p w:rsidRPr="00E37F96" w:rsidR="00E37F96" w:rsidP="00E37F96" w:rsidRDefault="00E37F96" w14:paraId="3DF1DEB1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Odbor ………….</w:t>
      </w:r>
    </w:p>
    <w:p w:rsidRPr="00E37F96" w:rsidR="00E37F96" w:rsidP="00E37F96" w:rsidRDefault="00E37F96" w14:paraId="02F913A2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Na Poříčním právu 1</w:t>
      </w:r>
    </w:p>
    <w:p w:rsidRPr="00E37F96" w:rsidR="00E37F96" w:rsidP="00E37F96" w:rsidRDefault="00E37F96" w14:paraId="2872CD79" w14:textId="77777777">
      <w:pPr>
        <w:spacing w:after="220" w:line="240" w:lineRule="auto"/>
        <w:jc w:val="both"/>
        <w:rPr>
          <w:rFonts w:ascii="Arial" w:hAnsi="Arial" w:eastAsia="Arial" w:cs="Times New Roman"/>
          <w:b/>
          <w:bCs/>
          <w:smallCaps/>
        </w:rPr>
      </w:pPr>
      <w:r w:rsidRPr="00E37F96">
        <w:rPr>
          <w:rFonts w:ascii="Arial" w:hAnsi="Arial" w:eastAsia="Arial" w:cs="Arial"/>
        </w:rPr>
        <w:t>128 01 Praha 2</w:t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  <w:r w:rsidRPr="00E37F96">
        <w:rPr>
          <w:rFonts w:ascii="Arial" w:hAnsi="Arial" w:eastAsia="Arial" w:cs="Arial"/>
        </w:rPr>
        <w:tab/>
      </w:r>
    </w:p>
    <w:p w:rsidRPr="00E37F96" w:rsidR="00E37F96" w:rsidP="00E37F96" w:rsidRDefault="00E37F96" w14:paraId="57416776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Na základě žádosti o podporu z Operačního programu Zaměstnanost (dále jen „OPZ“) rozhodlo Ministerstvo práce a sociálních věcí (dále jen „MPSV“) o podmínkách realizace projektu […]</w:t>
      </w:r>
      <w:r w:rsidRPr="00E37F96">
        <w:rPr>
          <w:rFonts w:ascii="Arial" w:hAnsi="Arial" w:eastAsia="Arial" w:cs="Arial"/>
          <w:vertAlign w:val="superscript"/>
        </w:rPr>
        <w:footnoteReference w:id="1"/>
      </w:r>
      <w:r w:rsidRPr="00E37F96">
        <w:rPr>
          <w:rFonts w:ascii="Arial" w:hAnsi="Arial" w:eastAsia="Arial" w:cs="Arial"/>
        </w:rPr>
        <w:t xml:space="preserve"> registrační číslo […], prioritní osa OPZ: […] (dále jen „projekt“) takto:</w:t>
      </w:r>
    </w:p>
    <w:p w:rsidRPr="00E37F96" w:rsidR="00E37F96" w:rsidP="00E37F96" w:rsidRDefault="00E37F96" w14:paraId="032AF5CF" w14:textId="77777777">
      <w:pPr>
        <w:shd w:val="clear" w:color="auto" w:fill="E8E8E8"/>
        <w:spacing w:after="220" w:line="240" w:lineRule="auto"/>
        <w:jc w:val="both"/>
        <w:rPr>
          <w:rFonts w:ascii="Arial" w:hAnsi="Arial" w:eastAsia="Arial" w:cs="Arial"/>
          <w:b/>
        </w:rPr>
      </w:pPr>
      <w:r w:rsidRPr="00E37F96">
        <w:rPr>
          <w:rFonts w:ascii="Arial" w:hAnsi="Arial" w:eastAsia="Arial" w:cs="Arial"/>
          <w:b/>
        </w:rPr>
        <w:t>Část I - Obecné vymezení</w:t>
      </w:r>
    </w:p>
    <w:p w:rsidRPr="00E37F96" w:rsidR="00E37F96" w:rsidP="00E37F96" w:rsidRDefault="00E37F96" w14:paraId="2224B4CF" w14:textId="77777777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Specifikace příjemce</w:t>
      </w:r>
      <w:r w:rsidRPr="00E37F96">
        <w:rPr>
          <w:rFonts w:ascii="Arial" w:hAnsi="Arial" w:eastAsia="Times New Roman" w:cs="Arial"/>
          <w:sz w:val="24"/>
          <w:szCs w:val="24"/>
          <w:lang w:eastAsia="cs-CZ"/>
        </w:rPr>
        <w:t xml:space="preserve"> </w:t>
      </w:r>
      <w:r w:rsidRPr="00E37F96">
        <w:rPr>
          <w:rFonts w:ascii="Arial" w:hAnsi="Arial" w:eastAsia="Times New Roman" w:cs="Arial"/>
          <w:b/>
          <w:bCs/>
          <w:lang w:eastAsia="cs-CZ"/>
        </w:rPr>
        <w:t>podpory z OPZ (dále jen „příjemce“)</w:t>
      </w:r>
    </w:p>
    <w:p w:rsidRPr="00E37F96" w:rsidR="00E37F96" w:rsidP="00E37F96" w:rsidRDefault="00E37F96" w14:paraId="75391BED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E37F96">
        <w:rPr>
          <w:rFonts w:ascii="Arial" w:hAnsi="Arial" w:eastAsia="Arial" w:cs="Arial"/>
        </w:rPr>
        <w:t>[</w:t>
      </w:r>
      <w:r w:rsidRPr="00E37F96">
        <w:rPr>
          <w:rFonts w:ascii="Arial" w:hAnsi="Arial" w:eastAsia="Arial" w:cs="Arial"/>
          <w:i/>
          <w:iCs/>
        </w:rPr>
        <w:t>PO – název</w:t>
      </w:r>
      <w:r w:rsidRPr="00E37F96">
        <w:rPr>
          <w:rFonts w:ascii="Arial" w:hAnsi="Arial" w:eastAsia="Arial" w:cs="Arial"/>
        </w:rPr>
        <w:t>]</w:t>
      </w:r>
    </w:p>
    <w:p w:rsidRPr="00E37F96" w:rsidR="00E37F96" w:rsidP="00E37F96" w:rsidRDefault="00E37F96" w14:paraId="2AF142D1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E37F96">
        <w:rPr>
          <w:rFonts w:ascii="Arial" w:hAnsi="Arial" w:eastAsia="Arial" w:cs="Arial"/>
        </w:rPr>
        <w:t>[</w:t>
      </w:r>
      <w:r w:rsidRPr="00E37F96">
        <w:rPr>
          <w:rFonts w:ascii="Arial" w:hAnsi="Arial" w:eastAsia="Arial" w:cs="Arial"/>
          <w:i/>
          <w:iCs/>
        </w:rPr>
        <w:t>PO – adresa sídla</w:t>
      </w:r>
      <w:r w:rsidRPr="00E37F96">
        <w:rPr>
          <w:rFonts w:ascii="Arial" w:hAnsi="Arial" w:eastAsia="Arial" w:cs="Arial"/>
        </w:rPr>
        <w:t>]</w:t>
      </w:r>
    </w:p>
    <w:p w:rsidRPr="00E37F96" w:rsidR="00E37F96" w:rsidP="00E37F96" w:rsidRDefault="00E37F96" w14:paraId="049D1F2D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E37F96">
        <w:rPr>
          <w:rFonts w:ascii="Arial" w:hAnsi="Arial" w:eastAsia="Arial" w:cs="Arial"/>
        </w:rPr>
        <w:t xml:space="preserve">Jejímž/Jehož jménem jedná: […] </w:t>
      </w:r>
    </w:p>
    <w:p w:rsidRPr="00E37F96" w:rsidR="00E37F96" w:rsidP="00E37F96" w:rsidRDefault="00E37F96" w14:paraId="1AC1AD42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 xml:space="preserve">IČ: […] </w:t>
      </w:r>
    </w:p>
    <w:p w:rsidRPr="00E37F96" w:rsidR="00E37F96" w:rsidP="00E37F96" w:rsidRDefault="00E37F96" w14:paraId="13208164" w14:textId="77777777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Výše prostředků na realizaci projektu</w:t>
      </w:r>
    </w:p>
    <w:p w:rsidRPr="00E37F96" w:rsidR="00E37F96" w:rsidP="00E37F96" w:rsidRDefault="00E37F96" w14:paraId="61108695" w14:textId="77777777">
      <w:pPr>
        <w:numPr>
          <w:ilvl w:val="1"/>
          <w:numId w:val="4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Maximální výše prostředků a členění zdrojů: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0"/>
        <w:gridCol w:w="2124"/>
        <w:gridCol w:w="2268"/>
      </w:tblGrid>
      <w:tr w:rsidRPr="00E37F96" w:rsidR="00E37F96" w:rsidTr="00C5422F" w14:paraId="69F1E67B" w14:textId="77777777">
        <w:trPr>
          <w:tblHeader/>
        </w:trPr>
        <w:tc>
          <w:tcPr>
            <w:tcW w:w="4680" w:type="dxa"/>
            <w:vAlign w:val="center"/>
          </w:tcPr>
          <w:p w:rsidRPr="00E37F96" w:rsidR="00E37F96" w:rsidP="00E37F96" w:rsidRDefault="00E37F96" w14:paraId="5207F73E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16A4DBB2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Částka</w:t>
            </w:r>
          </w:p>
          <w:p w:rsidRPr="00E37F96" w:rsidR="00E37F96" w:rsidP="00E37F96" w:rsidRDefault="00E37F96" w14:paraId="4D8CEACB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(v Kč)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32185141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Podíl na celkovém rozpočtu očištěném o příjmy (v %)</w:t>
            </w:r>
          </w:p>
        </w:tc>
      </w:tr>
      <w:tr w:rsidRPr="00E37F96" w:rsidR="00E37F96" w:rsidTr="00C5422F" w14:paraId="4BE42830" w14:textId="77777777">
        <w:tc>
          <w:tcPr>
            <w:tcW w:w="4680" w:type="dxa"/>
            <w:vAlign w:val="center"/>
          </w:tcPr>
          <w:p w:rsidRPr="00E37F96" w:rsidR="00E37F96" w:rsidP="00E37F96" w:rsidRDefault="00E37F96" w14:paraId="0023DB8C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7AAA3BAF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[...]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6FC0A0C2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-</w:t>
            </w:r>
          </w:p>
        </w:tc>
      </w:tr>
      <w:tr w:rsidRPr="00E37F96" w:rsidR="00E37F96" w:rsidTr="00C5422F" w14:paraId="461C394C" w14:textId="77777777">
        <w:tc>
          <w:tcPr>
            <w:tcW w:w="4680" w:type="dxa"/>
            <w:vAlign w:val="center"/>
          </w:tcPr>
          <w:p w:rsidRPr="00E37F96" w:rsidR="00E37F96" w:rsidP="00E37F96" w:rsidRDefault="00E37F96" w14:paraId="0AE6A111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Arial"/>
                <w:snapToGrid w:val="false"/>
                <w:sz w:val="20"/>
                <w:szCs w:val="24"/>
              </w:rPr>
              <w:t>Příjmy projektu připadající na způsobilé výdaje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4CBDC4AB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272EB681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-</w:t>
            </w:r>
          </w:p>
        </w:tc>
      </w:tr>
      <w:tr w:rsidRPr="00E37F96" w:rsidR="00E37F96" w:rsidTr="00C5422F" w14:paraId="5C117528" w14:textId="77777777">
        <w:tc>
          <w:tcPr>
            <w:tcW w:w="4680" w:type="dxa"/>
            <w:vAlign w:val="center"/>
          </w:tcPr>
          <w:p w:rsidRPr="00E37F96" w:rsidR="00E37F96" w:rsidP="00E37F96" w:rsidRDefault="00E37F96" w14:paraId="43CEE88F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Arial"/>
                <w:snapToGrid w:val="false"/>
                <w:sz w:val="20"/>
                <w:szCs w:val="24"/>
              </w:rPr>
              <w:t>Celkové způsobilé náklady očištěné o příjmy připadající na způsobilé výdaje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73BC8884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22CE369A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100 %</w:t>
            </w:r>
          </w:p>
        </w:tc>
      </w:tr>
      <w:tr w:rsidRPr="00E37F96" w:rsidR="00E37F96" w:rsidTr="00C5422F" w14:paraId="59C6B63F" w14:textId="77777777">
        <w:tc>
          <w:tcPr>
            <w:tcW w:w="4680" w:type="dxa"/>
            <w:vAlign w:val="center"/>
          </w:tcPr>
          <w:p w:rsidRPr="00E37F96" w:rsidR="00E37F96" w:rsidP="00E37F96" w:rsidRDefault="00E37F96" w14:paraId="24C856C0" w14:textId="77777777">
            <w:pPr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bCs/>
                <w:snapToGrid w:val="false"/>
                <w:sz w:val="20"/>
              </w:rPr>
              <w:t>z toho z Evropského sociálního fondu, tj. z prostředků ze státního rozpočtu na předfinancování výdajů, které mají být kryty prostředky z Národního fondu (§ 44 odst. 2 písm. e) rozpočtových pravidel);</w:t>
            </w:r>
            <w:r w:rsidRPr="00E37F96">
              <w:rPr>
                <w:rFonts w:ascii="Arial" w:hAnsi="Arial" w:eastAsia="Arial" w:cs="Times New Roman"/>
                <w:sz w:val="20"/>
              </w:rPr>
              <w:t xml:space="preserve">  </w:t>
            </w:r>
          </w:p>
          <w:p w:rsidRPr="00E37F96" w:rsidR="00E37F96" w:rsidP="00E37F96" w:rsidRDefault="00E37F96" w14:paraId="34B4C7B6" w14:textId="77777777">
            <w:pPr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bCs/>
                <w:snapToGrid w:val="false"/>
                <w:sz w:val="20"/>
              </w:rPr>
              <w:t>z toho z Iniciativy na podporu zaměstnanosti mladých lidí, tj. z prostředků ze státního rozpočtu na předfinancování výdajů, které mají být kryty prostředky z Národního fondu (§ 44 odst. 2 písm. e) rozpočtových pravidel);</w:t>
            </w:r>
            <w:r w:rsidRPr="00E37F96">
              <w:rPr>
                <w:rFonts w:ascii="Arial" w:hAnsi="Arial" w:eastAsia="Arial" w:cs="Times New Roman"/>
                <w:sz w:val="20"/>
              </w:rPr>
              <w:t xml:space="preserve">  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165E614B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  <w:p w:rsidRPr="00E37F96" w:rsidR="00E37F96" w:rsidP="00E37F96" w:rsidRDefault="00E37F96" w14:paraId="3DC73B5C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  <w:p w:rsidRPr="00E37F96" w:rsidR="00E37F96" w:rsidP="00E37F96" w:rsidRDefault="00E37F96" w14:paraId="1F3D0C58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040F503B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  <w:p w:rsidRPr="00E37F96" w:rsidR="00E37F96" w:rsidP="00E37F96" w:rsidRDefault="00E37F96" w14:paraId="5A85AD1E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  <w:p w:rsidRPr="00E37F96" w:rsidR="00E37F96" w:rsidP="00E37F96" w:rsidRDefault="00E37F96" w14:paraId="554F2EE4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</w:tr>
      <w:tr w:rsidRPr="00E37F96" w:rsidR="00E37F96" w:rsidTr="00C5422F" w14:paraId="0C7BDE89" w14:textId="77777777">
        <w:tc>
          <w:tcPr>
            <w:tcW w:w="4680" w:type="dxa"/>
            <w:vAlign w:val="center"/>
          </w:tcPr>
          <w:p w:rsidRPr="00E37F96" w:rsidR="00E37F96" w:rsidP="00E37F96" w:rsidRDefault="00E37F96" w14:paraId="374A6B6D" w14:textId="77777777">
            <w:pPr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Arial" w:hAnsi="Arial" w:eastAsia="Arial" w:cs="Times New Roman"/>
                <w:bCs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Cs/>
                <w:snapToGrid w:val="false"/>
                <w:sz w:val="20"/>
              </w:rPr>
              <w:t xml:space="preserve">z toho státní rozpočet, tj. prostředky státního rozpočtu na část národního spolufinancování (§ 44 odst. 2 písm. i) rozpočtových pravidel).   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3D07F496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753EFCF9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</w:tr>
      <w:tr w:rsidRPr="00E37F96" w:rsidR="00E37F96" w:rsidTr="00C5422F" w14:paraId="0E907BE6" w14:textId="77777777">
        <w:tc>
          <w:tcPr>
            <w:tcW w:w="4680" w:type="dxa"/>
            <w:vAlign w:val="center"/>
          </w:tcPr>
          <w:p w:rsidRPr="00E37F96" w:rsidR="00E37F96" w:rsidP="00E37F96" w:rsidRDefault="00E37F96" w14:paraId="0714EDD6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caps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Rozdělení investičních a neinvestičních prostředků v rámci maximální částky podpory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48F4E9D5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76BB67F8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</w:tr>
      <w:tr w:rsidRPr="00E37F96" w:rsidR="00E37F96" w:rsidTr="00C5422F" w14:paraId="58F293A7" w14:textId="77777777">
        <w:tc>
          <w:tcPr>
            <w:tcW w:w="4680" w:type="dxa"/>
            <w:vAlign w:val="center"/>
          </w:tcPr>
          <w:p w:rsidRPr="00E37F96" w:rsidR="00E37F96" w:rsidP="00E37F96" w:rsidRDefault="00E37F96" w14:paraId="57EDE21F" w14:textId="77777777">
            <w:pPr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Arial" w:hAnsi="Arial" w:eastAsia="Arial" w:cs="Times New Roman"/>
                <w:bCs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Cs/>
                <w:snapToGrid w:val="false"/>
                <w:sz w:val="20"/>
              </w:rPr>
              <w:t>neinvestiční prostředky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5C08A89C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53395159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-</w:t>
            </w:r>
          </w:p>
        </w:tc>
      </w:tr>
      <w:tr w:rsidRPr="00E37F96" w:rsidR="00E37F96" w:rsidTr="00C5422F" w14:paraId="6D5E3B7F" w14:textId="77777777">
        <w:tc>
          <w:tcPr>
            <w:tcW w:w="4680" w:type="dxa"/>
            <w:vAlign w:val="center"/>
          </w:tcPr>
          <w:p w:rsidRPr="00E37F96" w:rsidR="00E37F96" w:rsidP="00E37F96" w:rsidRDefault="00E37F96" w14:paraId="6D176314" w14:textId="77777777">
            <w:pPr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Arial" w:hAnsi="Arial" w:eastAsia="Arial" w:cs="Times New Roman"/>
                <w:bCs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Cs/>
                <w:snapToGrid w:val="false"/>
                <w:sz w:val="20"/>
              </w:rPr>
              <w:t>investiční prostředky</w:t>
            </w:r>
          </w:p>
        </w:tc>
        <w:tc>
          <w:tcPr>
            <w:tcW w:w="2124" w:type="dxa"/>
            <w:vAlign w:val="center"/>
          </w:tcPr>
          <w:p w:rsidRPr="00E37F96" w:rsidR="00E37F96" w:rsidP="00E37F96" w:rsidRDefault="00E37F96" w14:paraId="3540E84F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E37F96" w:rsidR="00E37F96" w:rsidP="00E37F96" w:rsidRDefault="00E37F96" w14:paraId="161CE3DC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-</w:t>
            </w:r>
          </w:p>
        </w:tc>
      </w:tr>
    </w:tbl>
    <w:p w:rsidRPr="00E37F96" w:rsidR="00E37F96" w:rsidP="00E37F96" w:rsidRDefault="00E37F96" w14:paraId="531D6967" w14:textId="77777777">
      <w:pPr>
        <w:spacing w:after="0" w:line="240" w:lineRule="auto"/>
        <w:jc w:val="both"/>
        <w:rPr>
          <w:rFonts w:ascii="Arial" w:hAnsi="Arial" w:eastAsia="Times New Roman" w:cs="Arial"/>
          <w:i/>
          <w:lang w:eastAsia="cs-CZ"/>
        </w:rPr>
      </w:pPr>
    </w:p>
    <w:p w:rsidRPr="00E37F96" w:rsidR="00E37F96" w:rsidP="00E37F96" w:rsidRDefault="00E37F96" w14:paraId="2A616E69" w14:textId="77777777">
      <w:pPr>
        <w:spacing w:after="0" w:line="240" w:lineRule="auto"/>
        <w:jc w:val="both"/>
        <w:rPr>
          <w:rFonts w:ascii="Arial" w:hAnsi="Arial" w:eastAsia="Times New Roman" w:cs="Arial"/>
          <w:i/>
          <w:lang w:eastAsia="cs-CZ"/>
        </w:rPr>
      </w:pPr>
      <w:r w:rsidRPr="00E37F96">
        <w:rPr>
          <w:rFonts w:ascii="Arial" w:hAnsi="Arial" w:eastAsia="Times New Roman" w:cs="Arial"/>
          <w:i/>
          <w:lang w:eastAsia="cs-CZ"/>
        </w:rPr>
        <w:lastRenderedPageBreak/>
        <w:t>/ Alternativa pro projekty s pro-rata:</w:t>
      </w:r>
    </w:p>
    <w:p w:rsidRPr="00E37F96" w:rsidR="00E37F96" w:rsidP="00E37F96" w:rsidRDefault="00E37F96" w14:paraId="76D56B63" w14:textId="77777777">
      <w:pPr>
        <w:tabs>
          <w:tab w:val="num" w:pos="720"/>
        </w:tabs>
        <w:spacing w:after="60" w:line="240" w:lineRule="auto"/>
        <w:ind w:left="425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Podpora zahrnuje prostředky Evropského sociálního fondu, tj.  prostředky ze státního rozpočtu na předfinancování výdajů, které mají být kryty prostředky z Národního fondu (§ 44 odst. 2 písm. e) rozpočtových pravidel), dále tento zdroj jen „ESF“, a prostředky státního rozpočtu (§ 44 odst. 2 písm. i) rozpočtových pravidel), dále tento zdroj jen „SR“. Protože projekt má dopad na celé území ČR, vyčíslení celkového zapojení ESF a SR na financování projektu vychází z dvou odlišných sad poměrů financování (pro více a pro méně rozvinuté regiony) a jednotného procenta vyjadřujícího rozpad mezi více a méně rozvinuté regiony stanoveného pro danou část OPZ.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2"/>
      </w:r>
      <w:r w:rsidRPr="00E37F96">
        <w:rPr>
          <w:rFonts w:ascii="Arial" w:hAnsi="Arial" w:eastAsia="Times New Roman" w:cs="Arial"/>
          <w:lang w:eastAsia="cs-CZ"/>
        </w:rPr>
        <w:t xml:space="preserve"> Maximální výše prostředků a členění zdrojů:</w:t>
      </w:r>
    </w:p>
    <w:tbl>
      <w:tblPr>
        <w:tblW w:w="907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681"/>
        <w:gridCol w:w="2125"/>
        <w:gridCol w:w="2269"/>
      </w:tblGrid>
      <w:tr w:rsidRPr="00E37F96" w:rsidR="00E37F96" w:rsidTr="00C5422F" w14:paraId="40F2A718" w14:textId="77777777">
        <w:trPr>
          <w:tblHeader/>
        </w:trPr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7485AC79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Finanční rámec projektu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4736935F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Částka</w:t>
            </w:r>
          </w:p>
          <w:p w:rsidRPr="00E37F96" w:rsidR="00E37F96" w:rsidP="00E37F96" w:rsidRDefault="00E37F96" w14:paraId="13C06F44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(v Kč)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58794FAE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Podíl na celkovém rozpočtu očištěném o příjmy</w:t>
            </w: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  <w:vertAlign w:val="superscript"/>
              </w:rPr>
              <w:footnoteReference w:id="3"/>
            </w: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 xml:space="preserve"> (v %)</w:t>
            </w:r>
          </w:p>
        </w:tc>
      </w:tr>
      <w:tr w:rsidRPr="00E37F96" w:rsidR="00E37F96" w:rsidTr="00C5422F" w14:paraId="73FD48FE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3801183D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Celkové způsobilé náklady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1D0BB1CE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64B0F6EA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-</w:t>
            </w:r>
          </w:p>
        </w:tc>
      </w:tr>
      <w:tr w:rsidRPr="00E37F96" w:rsidR="00E37F96" w:rsidTr="00C5422F" w14:paraId="274DC599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56E63E3F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Příjmy projektu připadající na způsobilé výdaje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59EEC808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387CD03F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-</w:t>
            </w:r>
          </w:p>
        </w:tc>
      </w:tr>
      <w:tr w:rsidRPr="00E37F96" w:rsidR="00E37F96" w:rsidTr="00C5422F" w14:paraId="60FA585D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6DA247B6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Celkové způsobilé náklady očištěné o příjmy připadající na způsobilé výdaje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05A5F5C0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4AD17821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</w:p>
        </w:tc>
      </w:tr>
      <w:tr w:rsidRPr="00E37F96" w:rsidR="00E37F96" w:rsidTr="00C5422F" w14:paraId="59496352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7F1CC179" w14:textId="77777777">
            <w:pPr>
              <w:spacing w:after="0" w:line="276" w:lineRule="auto"/>
              <w:ind w:left="57" w:right="57"/>
              <w:rPr>
                <w:rFonts w:ascii="Arial" w:hAnsi="Arial" w:eastAsia="Arial" w:cs="Arial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Arial"/>
                <w:snapToGrid w:val="false"/>
                <w:sz w:val="20"/>
                <w:szCs w:val="24"/>
              </w:rPr>
              <w:t>Částka připadající na méně rozvinuté regiony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0D37290F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182EDFB8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E37F96" w:rsidR="00E37F96" w:rsidTr="00C5422F" w14:paraId="00ED15B0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6F741395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z toho ESF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53203051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14EA7091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vertAlign w:val="superscript"/>
              </w:rPr>
              <w:footnoteReference w:id="4"/>
            </w:r>
          </w:p>
        </w:tc>
      </w:tr>
      <w:tr w:rsidRPr="00E37F96" w:rsidR="00E37F96" w:rsidTr="00C5422F" w14:paraId="5E25C8FD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2265BE75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z toho SR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344846DA" w14:textId="77777777">
            <w:pPr>
              <w:spacing w:after="0" w:line="276" w:lineRule="auto"/>
              <w:ind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53D2EEF3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vertAlign w:val="superscript"/>
              </w:rPr>
              <w:footnoteReference w:id="5"/>
            </w:r>
          </w:p>
        </w:tc>
      </w:tr>
      <w:tr w:rsidRPr="00E37F96" w:rsidR="00E37F96" w:rsidTr="00C5422F" w14:paraId="2FD429D6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6A9C78DC" w14:textId="77777777">
            <w:pPr>
              <w:spacing w:after="0" w:line="276" w:lineRule="auto"/>
              <w:ind w:left="57" w:right="57"/>
              <w:rPr>
                <w:rFonts w:ascii="Arial" w:hAnsi="Arial" w:eastAsia="Arial" w:cs="Arial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Arial"/>
                <w:snapToGrid w:val="false"/>
                <w:sz w:val="20"/>
                <w:szCs w:val="24"/>
              </w:rPr>
              <w:t>Částka připadající na více rozvinuté regiony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0FD57FCB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0C94497E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E37F96" w:rsidR="00E37F96" w:rsidTr="00C5422F" w14:paraId="4DBF5992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7955C005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z toho ESF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69B47261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4A94E91A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  <w:vertAlign w:val="superscript"/>
              </w:rPr>
              <w:footnoteReference w:id="6"/>
            </w:r>
          </w:p>
        </w:tc>
      </w:tr>
      <w:tr w:rsidRPr="00E37F96" w:rsidR="00E37F96" w:rsidTr="00C5422F" w14:paraId="6CB63F87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40DC08AF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z toho SR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544608D3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1DCD6C08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vertAlign w:val="superscript"/>
              </w:rPr>
              <w:footnoteReference w:id="7"/>
            </w:r>
          </w:p>
        </w:tc>
      </w:tr>
      <w:tr w:rsidRPr="00E37F96" w:rsidR="00E37F96" w:rsidTr="00C5422F" w14:paraId="56C97B22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26B008F8" w14:textId="77777777">
            <w:pPr>
              <w:spacing w:after="0" w:line="276" w:lineRule="auto"/>
              <w:ind w:left="57" w:right="57"/>
              <w:rPr>
                <w:rFonts w:ascii="Arial" w:hAnsi="Arial" w:eastAsia="Arial" w:cs="Arial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Arial"/>
                <w:snapToGrid w:val="false"/>
                <w:sz w:val="20"/>
                <w:szCs w:val="24"/>
              </w:rPr>
              <w:t>Celkem ESF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4A54CD5D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32573643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E37F96" w:rsidR="00E37F96" w:rsidTr="00C5422F" w14:paraId="4BE90391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0A85BC8B" w14:textId="77777777">
            <w:pPr>
              <w:spacing w:after="0" w:line="276" w:lineRule="auto"/>
              <w:ind w:left="57" w:right="57"/>
              <w:rPr>
                <w:rFonts w:ascii="Arial" w:hAnsi="Arial" w:eastAsia="Arial" w:cs="Arial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Arial"/>
                <w:snapToGrid w:val="false"/>
                <w:sz w:val="20"/>
                <w:szCs w:val="24"/>
              </w:rPr>
              <w:t>Celkem SR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479ED745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33B54371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E37F96" w:rsidR="00E37F96" w:rsidTr="00C5422F" w14:paraId="6A7E1281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453AB063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szCs w:val="24"/>
              </w:rPr>
              <w:t>Rozdělení investičních a neinvestičních prostředků v rámci maximální částky podpory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778D9037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0CE28E69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E37F96" w:rsidR="00E37F96" w:rsidTr="00C5422F" w14:paraId="24EA9D71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0198E032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szCs w:val="24"/>
              </w:rPr>
              <w:t>neinvestiční prostředky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60DD7EE8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2C5A7296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E37F96" w:rsidR="00E37F96" w:rsidTr="00C5422F" w14:paraId="45DC921A" w14:textId="77777777"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57A6AD53" w14:textId="77777777">
            <w:pPr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rPr>
                <w:rFonts w:ascii="Arial" w:hAnsi="Arial" w:eastAsia="Arial" w:cs="Times New Roman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szCs w:val="24"/>
              </w:rPr>
              <w:t>investiční prostředky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3054289D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7F96" w:rsidR="00E37F96" w:rsidP="00E37F96" w:rsidRDefault="00E37F96" w14:paraId="27A6D23F" w14:textId="77777777">
            <w:pPr>
              <w:spacing w:after="0" w:line="276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</w:tbl>
    <w:p w:rsidRPr="00E37F96" w:rsidR="00E37F96" w:rsidP="00E37F96" w:rsidRDefault="00E37F96" w14:paraId="39DDD9C5" w14:textId="77777777">
      <w:pPr>
        <w:spacing w:before="60"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cs-CZ"/>
        </w:rPr>
      </w:pPr>
      <w:r w:rsidRPr="00E37F96">
        <w:rPr>
          <w:rFonts w:ascii="Arial" w:hAnsi="Arial" w:eastAsia="Arial" w:cs="Arial"/>
        </w:rPr>
        <w:t>Rozpady celkových způsobilých výdajů projektu očištěných o příjmy na ESF a SR zajišťuje MS2014+ s využitím dvou výše uvedených sad poměrů financování, příjemce ovšem není povinen provádět rozpad touto vícefázovou cestou.</w:t>
      </w:r>
    </w:p>
    <w:p w:rsidRPr="00E37F96" w:rsidR="00E37F96" w:rsidP="00E37F96" w:rsidRDefault="00E37F96" w14:paraId="0EF82ABE" w14:textId="77777777">
      <w:pPr>
        <w:numPr>
          <w:ilvl w:val="1"/>
          <w:numId w:val="4"/>
        </w:numPr>
        <w:spacing w:before="120" w:after="60" w:line="240" w:lineRule="auto"/>
        <w:ind w:left="425" w:hanging="425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Podpora je poskytována na způsobilé výdaje projektu, které nejsou či nebudou kryty z příjmů projektu připadajících na způsobilé výdaje. </w:t>
      </w:r>
    </w:p>
    <w:p w:rsidRPr="00E37F96" w:rsidR="00E37F96" w:rsidP="00E37F96" w:rsidRDefault="00E37F96" w14:paraId="618C7C22" w14:textId="77777777">
      <w:pPr>
        <w:numPr>
          <w:ilvl w:val="1"/>
          <w:numId w:val="4"/>
        </w:numPr>
        <w:spacing w:after="60" w:line="240" w:lineRule="auto"/>
        <w:ind w:left="425" w:hanging="425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Pro zapojení zdrojů financování dle výše uvedené tabulky jsou rozhodující hodnoty podílů vyjádřené v procentech. Vyjádření v Kč je jako závazné a maximálně možné stanoveno pouze pro zdroj „Evropský sociální fond“, pro další zdroj se jedná o vyjádření pouze orientační.</w:t>
      </w:r>
    </w:p>
    <w:p w:rsidRPr="00E37F96" w:rsidR="00E37F96" w:rsidP="00E37F96" w:rsidRDefault="00E37F96" w14:paraId="65831EA2" w14:textId="77777777">
      <w:pPr>
        <w:numPr>
          <w:ilvl w:val="1"/>
          <w:numId w:val="4"/>
        </w:numPr>
        <w:spacing w:after="60" w:line="240" w:lineRule="auto"/>
        <w:ind w:left="425" w:hanging="425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Skutečná výše podpory, která bude příjemci poskytnuta, bude určena na základě skutečně vzniklých, odůvodněných a řádně prokázaných způsobilých výdajů. Výše podpory bude v souladu s Pravidly OPZ a právními předpisy ČR a EU snížena o ty příjmy, které projekt vytvoří v průběhu své realizace, které převýší částku příjmů projektu uvedenou v bodě 2.1 této části Podmínek. </w:t>
      </w:r>
    </w:p>
    <w:p w:rsidRPr="00E37F96" w:rsidR="00E37F96" w:rsidP="00E37F96" w:rsidRDefault="00E37F96" w14:paraId="723B1779" w14:textId="77777777">
      <w:pPr>
        <w:numPr>
          <w:ilvl w:val="1"/>
          <w:numId w:val="4"/>
        </w:numPr>
        <w:spacing w:after="240" w:line="240" w:lineRule="auto"/>
        <w:ind w:left="425" w:hanging="425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lastRenderedPageBreak/>
        <w:t>Režim financování projektu: ex-post.</w:t>
      </w:r>
    </w:p>
    <w:p w:rsidRPr="00E37F96" w:rsidR="00E37F96" w:rsidP="00E37F96" w:rsidRDefault="00E37F96" w14:paraId="60006901" w14:textId="77777777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Účel podpory</w:t>
      </w:r>
    </w:p>
    <w:p w:rsidRPr="00E37F96" w:rsidR="00E37F96" w:rsidP="00E37F96" w:rsidRDefault="00E37F96" w14:paraId="0AC92282" w14:textId="77777777">
      <w:pPr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rámci realizace projektu identifikovaného názvem a registračním číslem v úvodní části těchto Podmínek je účelem podpory: […]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8"/>
      </w:r>
    </w:p>
    <w:p w:rsidRPr="00E37F96" w:rsidR="00E37F96" w:rsidP="00E37F96" w:rsidRDefault="00E37F96" w14:paraId="613D9237" w14:textId="77777777">
      <w:pPr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</w:p>
    <w:p w:rsidRPr="00E37F96" w:rsidR="00E37F96" w:rsidP="00E37F96" w:rsidRDefault="00E37F96" w14:paraId="121F42A4" w14:textId="77777777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Lhůta, v níž má být dosaženo účelu</w:t>
      </w:r>
    </w:p>
    <w:p w:rsidRPr="00E37F96" w:rsidR="00E37F96" w:rsidP="00E37F96" w:rsidRDefault="00E37F96" w14:paraId="544C4E51" w14:textId="77777777">
      <w:pPr>
        <w:spacing w:after="6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Účelu podpory musí být dosaženo ve lhůtě: </w:t>
      </w:r>
    </w:p>
    <w:p w:rsidRPr="00E37F96" w:rsidR="00E37F96" w:rsidP="00E37F96" w:rsidRDefault="00E37F96" w14:paraId="0E6550DF" w14:textId="77777777">
      <w:pPr>
        <w:numPr>
          <w:ilvl w:val="0"/>
          <w:numId w:val="1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datum zahájení realizace projektu:</w:t>
      </w:r>
      <w:r w:rsidRPr="00E37F96">
        <w:rPr>
          <w:rFonts w:ascii="Arial" w:hAnsi="Arial" w:eastAsia="Arial" w:cs="Times New Roman"/>
        </w:rPr>
        <w:tab/>
        <w:t>[…]</w:t>
      </w:r>
    </w:p>
    <w:p w:rsidRPr="00E37F96" w:rsidR="00E37F96" w:rsidP="00E37F96" w:rsidRDefault="00E37F96" w14:paraId="5FDC2D83" w14:textId="77777777">
      <w:pPr>
        <w:numPr>
          <w:ilvl w:val="0"/>
          <w:numId w:val="1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datum ukončení realizace projektu nejpozději do:</w:t>
      </w:r>
      <w:r w:rsidRPr="00E37F96">
        <w:rPr>
          <w:rFonts w:ascii="Arial" w:hAnsi="Arial" w:eastAsia="Arial" w:cs="Times New Roman"/>
        </w:rPr>
        <w:tab/>
        <w:t>[…]</w:t>
      </w:r>
    </w:p>
    <w:p w:rsidRPr="00E37F96" w:rsidR="00E37F96" w:rsidP="00E37F96" w:rsidRDefault="00E37F96" w14:paraId="1CCAE4C4" w14:textId="77777777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Vzájemná komunikace MPSV a příjemce</w:t>
      </w:r>
    </w:p>
    <w:p w:rsidRPr="00E37F96" w:rsidR="00E37F96" w:rsidP="00E37F96" w:rsidRDefault="00E37F96" w14:paraId="2EB6F571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 xml:space="preserve">Příjemce a MPSV budou v případě doručování písemností, které musí být opatřeny podpisem osoby oprávněné jednat za daný subjekt, přednostně používat informační systém MS2014+. Příjemce je povinen zajistit, aby se seznámil se všemi zprávami, které mu budou od MPSV doručeny prostřednictvím MS2014+. </w:t>
      </w:r>
    </w:p>
    <w:p w:rsidRPr="00E37F96" w:rsidR="00E37F96" w:rsidP="00E37F96" w:rsidRDefault="00E37F96" w14:paraId="3BF2B968" w14:textId="77777777">
      <w:pPr>
        <w:spacing w:after="220" w:line="240" w:lineRule="auto"/>
        <w:jc w:val="both"/>
        <w:rPr>
          <w:rFonts w:ascii="Arial" w:hAnsi="Arial" w:eastAsia="Arial" w:cs="Arial"/>
        </w:rPr>
      </w:pPr>
    </w:p>
    <w:p w:rsidRPr="00E37F96" w:rsidR="00E37F96" w:rsidP="00E37F96" w:rsidRDefault="00E37F96" w14:paraId="69BF9DF3" w14:textId="77777777">
      <w:pPr>
        <w:shd w:val="clear" w:color="auto" w:fill="E8E8E8"/>
        <w:spacing w:after="220" w:line="240" w:lineRule="auto"/>
        <w:jc w:val="both"/>
        <w:rPr>
          <w:rFonts w:ascii="Arial" w:hAnsi="Arial" w:eastAsia="Arial" w:cs="Arial"/>
          <w:b/>
        </w:rPr>
      </w:pPr>
      <w:r w:rsidRPr="00E37F96">
        <w:rPr>
          <w:rFonts w:ascii="Arial" w:hAnsi="Arial" w:eastAsia="Arial" w:cs="Arial"/>
          <w:b/>
        </w:rPr>
        <w:t>Část II – Obecné povinnosti příjemce</w:t>
      </w:r>
    </w:p>
    <w:p w:rsidRPr="00E37F96" w:rsidR="00E37F96" w:rsidP="00E37F96" w:rsidRDefault="00E37F96" w14:paraId="771B64F1" w14:textId="77777777">
      <w:pPr>
        <w:numPr>
          <w:ilvl w:val="0"/>
          <w:numId w:val="8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Užití podpory </w:t>
      </w:r>
    </w:p>
    <w:p w:rsidRPr="00E37F96" w:rsidR="00E37F96" w:rsidP="00E37F96" w:rsidRDefault="00E37F96" w14:paraId="70FC6071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Při použití podpory je příjemce povinen dodržovat podmínky stanovené právními předpisy EU a ČR, těmito Podmínkami a Pravidly OPZ, kterými jsou: </w:t>
      </w:r>
    </w:p>
    <w:p w:rsidRPr="00E37F96" w:rsidR="00E37F96" w:rsidP="00E37F96" w:rsidRDefault="00E37F96" w14:paraId="1D0CC8A9" w14:textId="77777777">
      <w:pPr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  Obecná část pravidel pro žadatele a příjemce v rámci OPZ a</w:t>
      </w:r>
    </w:p>
    <w:p w:rsidRPr="00E37F96" w:rsidR="00E37F96" w:rsidP="00E37F96" w:rsidRDefault="00E37F96" w14:paraId="0E7ACDBE" w14:textId="77777777">
      <w:pPr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[…]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9"/>
      </w:r>
      <w:r w:rsidRPr="00E37F96">
        <w:rPr>
          <w:rFonts w:ascii="Arial" w:hAnsi="Arial" w:eastAsia="Times New Roman" w:cs="Arial"/>
          <w:lang w:eastAsia="cs-CZ"/>
        </w:rPr>
        <w:t xml:space="preserve"> </w:t>
      </w:r>
    </w:p>
    <w:p w:rsidRPr="00E37F96" w:rsidR="00E37F96" w:rsidP="00E37F96" w:rsidRDefault="00E37F96" w14:paraId="1833BD67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Pravidla OPZ jsou uveřejněna na webovém portálu MPSV </w:t>
      </w:r>
      <w:hyperlink w:history="true" r:id="rId10">
        <w:r w:rsidRPr="00E37F96">
          <w:rPr>
            <w:rFonts w:ascii="Arial" w:hAnsi="Arial" w:eastAsia="Times New Roman" w:cs="Arial"/>
            <w:color w:val="084A8B"/>
            <w:u w:val="single"/>
            <w:lang w:eastAsia="cs-CZ"/>
          </w:rPr>
          <w:t>www.esfcr.cz</w:t>
        </w:r>
      </w:hyperlink>
      <w:r w:rsidRPr="00E37F96">
        <w:rPr>
          <w:rFonts w:ascii="Arial" w:hAnsi="Arial" w:eastAsia="Times New Roman" w:cs="Arial"/>
          <w:lang w:eastAsia="cs-CZ"/>
        </w:rPr>
        <w:t xml:space="preserve">. </w:t>
      </w:r>
    </w:p>
    <w:p w:rsidRPr="00E37F96" w:rsidR="00E37F96" w:rsidP="00E37F96" w:rsidRDefault="00E37F96" w14:paraId="13F5E7EB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řídit se při realizaci projektu podmínkami upravenými v Pravidlech OPZ, nestanoví-li tyto Podmínky jinak.</w:t>
      </w:r>
    </w:p>
    <w:p w:rsidRPr="00E37F96" w:rsidR="00E37F96" w:rsidP="00E37F96" w:rsidRDefault="00E37F96" w14:paraId="5BCEF17E" w14:textId="77777777">
      <w:pPr>
        <w:numPr>
          <w:ilvl w:val="1"/>
          <w:numId w:val="8"/>
        </w:numPr>
        <w:spacing w:after="22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Pravidla OPZ jsou pro příjemce závazná ve verzi platné v den učinění příslušného úkonu souvisejícího s realizací projektu, nebo v den porušení příslušného ustanovení plynoucího z právních předpisů, Podmínek či Pravidel OPZ. Při zadávání zakázek je pro příjemce závazná verze Pravidel OPZ platná v den zahájení zadávání zakázky. O vydání nové revize Pravidel OPZ uvědomí MPSV příjemce bez zbytečného odkladu elektronickou formou prostřednictvím informačního systému MS2014+.</w:t>
      </w:r>
    </w:p>
    <w:p w:rsidRPr="00E37F96" w:rsidR="00E37F96" w:rsidP="00E37F96" w:rsidRDefault="00E37F96" w14:paraId="2D1367C9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Splnění účelu a realizace projektu</w:t>
      </w:r>
    </w:p>
    <w:p w:rsidRPr="00E37F96" w:rsidR="00E37F96" w:rsidP="00E37F96" w:rsidRDefault="00E37F96" w14:paraId="5C814AE8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splnit účel podpory uvedený v části I bodě 3 těchto Podmínek. </w:t>
      </w:r>
    </w:p>
    <w:p w:rsidRPr="00E37F96" w:rsidR="00E37F96" w:rsidP="00E37F96" w:rsidRDefault="00E37F96" w14:paraId="67238BA8" w14:textId="77777777">
      <w:pPr>
        <w:numPr>
          <w:ilvl w:val="1"/>
          <w:numId w:val="8"/>
        </w:numPr>
        <w:spacing w:after="22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realizovat projekt v souladu s Informací o projektu, která je přílohou č. 1 těchto Podmínek, a to ve znění jejích případných změn, k jejichž provedení je příjemce oprávněn dle Pravidel OPZ, anebo ve znění změn, které MPSV dle Pravidel OPZ schválilo.</w:t>
      </w:r>
    </w:p>
    <w:p w:rsidRPr="00E37F96" w:rsidR="00E37F96" w:rsidP="00E37F96" w:rsidRDefault="00E37F96" w14:paraId="59B1A304" w14:textId="77777777">
      <w:pPr>
        <w:keepNext/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Způsobilé výdaje</w:t>
      </w:r>
    </w:p>
    <w:p w:rsidRPr="00E37F96" w:rsidR="00E37F96" w:rsidP="00E37F96" w:rsidRDefault="00E37F96" w14:paraId="0EC7BB61" w14:textId="77777777">
      <w:pPr>
        <w:keepNext/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oprávněn použít podporu pouze na výdaje, které souvisejí s realizací projektu, jsou uvedeny ve schváleném rozpočtu projektu, příp. v rozpočtu, který příjemce upravil v souladu s Pravidly OPZ, a je možné je dle Pravidel OPZ považovat za způsobilé.</w:t>
      </w:r>
    </w:p>
    <w:p w:rsidR="00E37F96" w:rsidP="00E37F96" w:rsidRDefault="00E37F96" w14:paraId="1F6C336F" w14:textId="77777777">
      <w:pPr>
        <w:numPr>
          <w:ilvl w:val="1"/>
          <w:numId w:val="8"/>
        </w:numPr>
        <w:spacing w:after="22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zajistit úhradu veškerých výdajů projektu, které nejsou kryty výše uvedenou podporou (např. nezpůsobilé výdaje), aby byl dodržen účel poskytnutí podpory na daný projekt.</w:t>
      </w:r>
    </w:p>
    <w:p w:rsidRPr="00E37F96" w:rsidR="00E37F96" w:rsidP="00E37F96" w:rsidRDefault="00E37F96" w14:paraId="14FDEFD6" w14:textId="77777777">
      <w:pPr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br w:type="page"/>
      </w:r>
    </w:p>
    <w:p w:rsidRPr="00E37F96" w:rsidR="00E37F96" w:rsidP="00E37F96" w:rsidRDefault="00E37F96" w14:paraId="6CE6954B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Udržitelnost projektu </w:t>
      </w:r>
    </w:p>
    <w:p w:rsidRPr="00E37F96" w:rsidR="00E37F96" w:rsidP="00E37F96" w:rsidRDefault="00E37F96" w14:paraId="64FA530F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V případech, kdy projekt podle platných pravidel o veřejné podpoře ve smyslu článku 107 Smlouvy o fungování EU podléhá povinnosti zachování investice, je příjemce povinen zajistit, aby ve stanoveném období od ukončení realizace projektu nedošlo k zastavení nebo přemístění výrobní činnosti mimo programovou oblast (článek 71 odst. 3 nařízení Evropského parlamentu a Rady (EU) č. 1303/2013 ze dne 17. prosince 2013 o společných ustanoveních o</w:t>
      </w:r>
      <w:r>
        <w:rPr>
          <w:rFonts w:ascii="Arial" w:hAnsi="Arial" w:eastAsia="Arial" w:cs="Arial"/>
        </w:rPr>
        <w:t> </w:t>
      </w:r>
      <w:r w:rsidRPr="00E37F96">
        <w:rPr>
          <w:rFonts w:ascii="Arial" w:hAnsi="Arial" w:eastAsia="Arial" w:cs="Arial"/>
        </w:rPr>
        <w:t>Evropském fondu pro regionální rozvoj, Evropském sociálním fondu, Fondu soudržnosti, Evropském zemědělském fondu pro rozvoj venkova a Evropském námořním a rybářském fondu, o obecných ustanoveních o Evropském fondu pro regionální rozvoj, Evropském sociálním fondu, Fondu soudržnosti a Evropském námořním a rybářském fondu a o zrušení nařízení Rady (ES) č. 1083/2006).</w:t>
      </w:r>
    </w:p>
    <w:p w:rsidRPr="00E37F96" w:rsidR="00E37F96" w:rsidP="00E37F96" w:rsidRDefault="00E37F96" w14:paraId="7251472E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Vedení účetnictví </w:t>
      </w:r>
    </w:p>
    <w:p w:rsidRPr="00E37F96" w:rsidR="00E37F96" w:rsidP="00E37F96" w:rsidRDefault="00E37F96" w14:paraId="33249CA8" w14:textId="77777777">
      <w:pPr>
        <w:numPr>
          <w:ilvl w:val="1"/>
          <w:numId w:val="8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řádně účtovat o veškerých příjmech a výdajích, resp. výnosech a nákladech. Příjemce je povinen vést účetnictví v souladu se zákonem č. 563/1991 Sb., o účetnictví, ve znění pozdějších předpisů, a vést příjmy a výdaje s jednoznačnou vazbou na projekt s výjimkou výdajů, které jsou financovány jakožto paušální výdaje dle § 14 odst. 6 písm. a) rozpočtových pravidel, nebo je povinen vést pro projekt tzv. daňovou evidenci podle zákona č. 586/1992 Sb., o daních z příjmů, ve znění pozdějších předpisů, rozšířenou tak, aby příslušné doklady vztahující se k projektu splňovaly náležitosti účetního dokladu ve smyslu § 11 zákona č. 563/1991 Sb., (s výjimkou písm.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paušální výdaje dle § 14 odst. 6 písm. a) rozpočtových pravidel, vedeny s jednoznačnou vazbou na projekt.</w:t>
      </w:r>
    </w:p>
    <w:p w:rsidRPr="00E37F96" w:rsidR="00E37F96" w:rsidP="00E37F96" w:rsidRDefault="00E37F96" w14:paraId="1E9AB712" w14:textId="77777777">
      <w:pPr>
        <w:numPr>
          <w:ilvl w:val="1"/>
          <w:numId w:val="8"/>
        </w:numPr>
        <w:spacing w:after="22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předat MPSV ve lhůtě jím stanovené na jeho vyžádání účetní záznamy a další doklady vztahující se k projektu převedené do digitální podoby.</w:t>
      </w:r>
    </w:p>
    <w:p w:rsidRPr="00E37F96" w:rsidR="00E37F96" w:rsidP="00E37F96" w:rsidRDefault="00E37F96" w14:paraId="306DDF71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Zakázky </w:t>
      </w:r>
    </w:p>
    <w:p w:rsidRPr="00E37F96" w:rsidR="00E37F96" w:rsidP="00E37F96" w:rsidRDefault="00E37F96" w14:paraId="0221CAD8" w14:textId="77777777">
      <w:pPr>
        <w:numPr>
          <w:ilvl w:val="1"/>
          <w:numId w:val="8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Při zadávání zakázek v rámci realizace projektu je příjemce povinen postupovat v souladu s pravidly pro zadávání zakázek, jež jsou stanovena v Obecné části pravidel pro žadatele a příjemce v rámci OPZ.</w:t>
      </w:r>
    </w:p>
    <w:p w:rsidRPr="00E37F96" w:rsidR="00E37F96" w:rsidP="00E37F96" w:rsidRDefault="00E37F96" w14:paraId="656F7D4F" w14:textId="77777777">
      <w:pPr>
        <w:numPr>
          <w:ilvl w:val="1"/>
          <w:numId w:val="8"/>
        </w:numPr>
        <w:spacing w:after="22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zavázat dodavatele předkládat k proplacení pouze faktury, které obsahují název a číslo projektu. V odůvodněných případech je příjemci umožněno, aby doklady označil názvem a číslem projektu sám před jejich uplatněním v žádosti o platbu. </w:t>
      </w:r>
    </w:p>
    <w:p w:rsidRPr="00E37F96" w:rsidR="00E37F96" w:rsidP="00E37F96" w:rsidRDefault="00E37F96" w14:paraId="01272C6D" w14:textId="77777777">
      <w:pPr>
        <w:keepNext/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Plnění politik Evropské unie</w:t>
      </w:r>
    </w:p>
    <w:p w:rsidRPr="00E37F96" w:rsidR="00E37F96" w:rsidP="00E37F96" w:rsidRDefault="00E37F96" w14:paraId="56E00B37" w14:textId="77777777">
      <w:pPr>
        <w:keepNext/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 xml:space="preserve">Při realizaci projektu je příjemce povinen dodržovat politiky Evropské unie, zejména pravidla hospodářské soutěže a veřejné podpory, principy udržitelného rozvoje a prosazování rovných příležitostí. </w:t>
      </w:r>
    </w:p>
    <w:p w:rsidRPr="00E37F96" w:rsidR="00E37F96" w:rsidP="00E37F96" w:rsidRDefault="00E37F96" w14:paraId="6C1B30F8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Kontrola </w:t>
      </w:r>
    </w:p>
    <w:p w:rsidRPr="00E37F96" w:rsidR="00E37F96" w:rsidP="00E37F96" w:rsidRDefault="00E37F96" w14:paraId="6A32864A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Příjemce je povinen za účelem ověření plnění povinností vyplývajících z těchto Podmínek vytvořit podmínky k provedení kontroly 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kontroly. Těmito oprávněnými osobami jsou MPSV (Řídicí orgán), orgány finanční správy, Ministerstvo financí, Nejvyšší kontrolní úřad, Evropská komise a Evropský účetní dvůr, případně další orgány oprávněné k výkonu kontroly.</w:t>
      </w:r>
    </w:p>
    <w:p w:rsidRPr="00E37F96" w:rsidR="00E37F96" w:rsidP="00E37F96" w:rsidRDefault="00E37F96" w14:paraId="2F56A9D0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Informační a komunikační opatření</w:t>
      </w:r>
    </w:p>
    <w:p w:rsidRPr="00E37F96" w:rsidR="00E37F96" w:rsidP="00E37F96" w:rsidRDefault="00E37F96" w14:paraId="2ABD5DBE" w14:textId="77777777">
      <w:pPr>
        <w:numPr>
          <w:ilvl w:val="1"/>
          <w:numId w:val="8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provádět informační a komunikační opatření projektu v souladu s Pravidly OPZ.</w:t>
      </w:r>
    </w:p>
    <w:p w:rsidRPr="00E37F96" w:rsidR="00E37F96" w:rsidP="00E37F96" w:rsidRDefault="00E37F96" w14:paraId="3DC1F8F2" w14:textId="77777777">
      <w:pPr>
        <w:numPr>
          <w:ilvl w:val="1"/>
          <w:numId w:val="8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zajistit nápravu nedostatků týkajících se provádění informačních a</w:t>
      </w:r>
      <w:r>
        <w:rPr>
          <w:rFonts w:ascii="Arial" w:hAnsi="Arial" w:eastAsia="Times New Roman" w:cs="Arial"/>
          <w:lang w:eastAsia="cs-CZ"/>
        </w:rPr>
        <w:t> </w:t>
      </w:r>
      <w:r w:rsidRPr="00E37F96">
        <w:rPr>
          <w:rFonts w:ascii="Arial" w:hAnsi="Arial" w:eastAsia="Times New Roman" w:cs="Arial"/>
          <w:lang w:eastAsia="cs-CZ"/>
        </w:rPr>
        <w:t xml:space="preserve">komunikačních opatření projektu ve lhůtě a způsobem specifikovaným ve výzvě k provedení této nápravy, kterou příjemci adresuje MPSV. </w:t>
      </w:r>
    </w:p>
    <w:p w:rsidRPr="00E37F96" w:rsidR="00E37F96" w:rsidP="00E37F96" w:rsidRDefault="00E37F96" w14:paraId="55783B39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Poskytování údajů o realizaci projektu </w:t>
      </w:r>
    </w:p>
    <w:p w:rsidRPr="00E37F96" w:rsidR="00E37F96" w:rsidP="00E37F96" w:rsidRDefault="00E37F96" w14:paraId="0084D559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Příjemce je povinen na základě žádosti MPSV nebo Ministerstva financí poskytnout těmto písemně jakékoliv doplňující informace související s realizací projektu, a to ve lhůtě stanovené MPSV, resp. Ministerstvem financí.</w:t>
      </w:r>
    </w:p>
    <w:p w:rsidRPr="00E37F96" w:rsidR="00E37F96" w:rsidP="00E37F96" w:rsidRDefault="00E37F96" w14:paraId="02F9706E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Oznamovací povinnost</w:t>
      </w:r>
    </w:p>
    <w:p w:rsidRPr="00E37F96" w:rsidR="00E37F96" w:rsidP="00E37F96" w:rsidRDefault="00E37F96" w14:paraId="365AEF2C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Příjemce je povinen dodržet Pravidla OPZ upravující oznamování změn týkajících se projektu.</w:t>
      </w:r>
    </w:p>
    <w:p w:rsidRPr="00E37F96" w:rsidR="00E37F96" w:rsidP="00E37F96" w:rsidRDefault="00E37F96" w14:paraId="59964DB3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Zákaz čerpání jiných podpor</w:t>
      </w:r>
    </w:p>
    <w:p w:rsidRPr="00E37F96" w:rsidR="00E37F96" w:rsidP="00E37F96" w:rsidRDefault="00E37F96" w14:paraId="762FAE08" w14:textId="77777777">
      <w:pPr>
        <w:tabs>
          <w:tab w:val="left" w:pos="0"/>
        </w:tabs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Příjemce nesmí na výdaje projektu uhrazené z prostředků této podpory čerpat prostředky z jiných finančních nástrojů Evropské unie či z jiných veřejných prostředků. Pokud byl určitý výdaj uhrazen z podpory pouze z části, týká se zákaz podle předchozí věty pouze této části výdaje.</w:t>
      </w:r>
    </w:p>
    <w:p w:rsidRPr="00E37F96" w:rsidR="00E37F96" w:rsidP="00E37F96" w:rsidRDefault="00E37F96" w14:paraId="1E34593A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Vypořádání projektu</w:t>
      </w:r>
    </w:p>
    <w:p w:rsidRPr="00E37F96" w:rsidR="00E37F96" w:rsidP="00E37F96" w:rsidRDefault="00E37F96" w14:paraId="594FC456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Pokud je to relevantní, příjemce je povinen podporu finančně vypořádat v souladu s rozpočtovými pravidly a aktuálně platnou vyhláškou upravující</w:t>
      </w:r>
      <w:r w:rsidRPr="00E37F96">
        <w:rPr>
          <w:rFonts w:ascii="Arial" w:hAnsi="Arial" w:eastAsia="Arial" w:cs="Times New Roman"/>
        </w:rPr>
        <w:t xml:space="preserve"> zásady a lhůty finančního vypořádání vztahů se státním rozpočtem</w:t>
      </w:r>
      <w:r w:rsidRPr="00E37F96">
        <w:rPr>
          <w:rFonts w:ascii="Arial" w:hAnsi="Arial" w:eastAsia="Arial" w:cs="Arial"/>
          <w:vertAlign w:val="superscript"/>
        </w:rPr>
        <w:footnoteReference w:id="10"/>
      </w:r>
    </w:p>
    <w:p w:rsidRPr="00E37F96" w:rsidR="00E37F96" w:rsidP="00E37F96" w:rsidRDefault="00E37F96" w14:paraId="642BEEE8" w14:textId="77777777">
      <w:pPr>
        <w:keepNext/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Uchovávání dokumentů</w:t>
      </w:r>
    </w:p>
    <w:p w:rsidRPr="00E37F96" w:rsidR="00E37F96" w:rsidP="00E37F96" w:rsidRDefault="00E37F96" w14:paraId="0479280E" w14:textId="77777777">
      <w:pPr>
        <w:keepNext/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Příjemce je povinen uchovat veškeré dokumenty související s realizací projektu v souladu s platnými právními předpisy ČR, zejména v souladu s § 44a odst. 11 rozpočtových pravidel</w:t>
      </w:r>
      <w:r w:rsidRPr="00E37F96">
        <w:rPr>
          <w:rFonts w:ascii="Arial" w:hAnsi="Arial" w:eastAsia="Arial" w:cs="Arial"/>
          <w:vertAlign w:val="superscript"/>
        </w:rPr>
        <w:footnoteReference w:id="11"/>
      </w:r>
      <w:r w:rsidRPr="00E37F96">
        <w:rPr>
          <w:rFonts w:ascii="Arial" w:hAnsi="Arial" w:eastAsia="Arial" w:cs="Arial"/>
        </w:rPr>
        <w:t xml:space="preserve"> a Pravidly OPZ.</w:t>
      </w:r>
    </w:p>
    <w:p w:rsidRPr="00E37F96" w:rsidR="00E37F96" w:rsidP="00E37F96" w:rsidRDefault="00E37F96" w14:paraId="37025889" w14:textId="77777777">
      <w:pPr>
        <w:keepNext/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Péče o majetek </w:t>
      </w:r>
    </w:p>
    <w:p w:rsidRPr="00E37F96" w:rsidR="00E37F96" w:rsidP="00E37F96" w:rsidRDefault="00E37F96" w14:paraId="700B4321" w14:textId="77777777">
      <w:pPr>
        <w:keepNext/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Příjemce je povinen po dobu realizace projektu zacházet s majetkem spolufinancovaným z podpory s péčí řádného hospodáře, zejména jej zabezpečit proti poškození, ztrátě nebo odcizení a nezatěžovat takový majetek žádnými věcnými právy třetích osob, včetně zástavního práva. Povinnost podle předchozí věty se netýká spotřebního materiálu.</w:t>
      </w:r>
    </w:p>
    <w:p w:rsidRPr="00E37F96" w:rsidR="00E37F96" w:rsidP="00E37F96" w:rsidRDefault="00E37F96" w14:paraId="7B1B2E23" w14:textId="77777777">
      <w:pPr>
        <w:spacing w:after="200" w:line="276" w:lineRule="auto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br w:type="page"/>
      </w:r>
    </w:p>
    <w:p w:rsidRPr="00E37F96" w:rsidR="00E37F96" w:rsidP="00E37F96" w:rsidRDefault="00E37F96" w14:paraId="5CC5FD4F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Práva duševního vlastnictví</w:t>
      </w:r>
    </w:p>
    <w:p w:rsidRPr="00E37F96" w:rsidR="00E37F96" w:rsidP="00E37F96" w:rsidRDefault="00E37F96" w14:paraId="32939EA2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 xml:space="preserve">Příjemce je povinen MPSV poskytnout neomezenou bezplatnou licenci k užití práv duševního vlastnictví včetně možnosti zcela nebo zčásti poskytnout třetí osobě oprávnění tvořící součást licence, jestliže byly při vzniku práv duševního vlastnictví použity prostředky této podpory, a to bez zbytečného odkladu po vzniku takových práv. Pokud je držitelem takových práv duševního vlastnictví vzniklých na základě zakázky jiná osoba než příjemce, je příjemce povinen ve smlouvě uzavřené s dodavatelem zajistit pro MPSV neomezenou bezplatnou licenci k užití těchto práv včetně možnosti zcela nebo zčásti poskytnout třetí osobě oprávnění tvořící součást licence. </w:t>
      </w:r>
    </w:p>
    <w:p w:rsidRPr="00E37F96" w:rsidR="00E37F96" w:rsidP="00E37F96" w:rsidRDefault="00E37F96" w14:paraId="64398C02" w14:textId="77777777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Partnerství</w:t>
      </w:r>
      <w:r w:rsidRPr="00E37F96">
        <w:rPr>
          <w:rFonts w:ascii="Arial" w:hAnsi="Arial" w:eastAsia="Times New Roman" w:cs="Arial"/>
          <w:bCs/>
          <w:vertAlign w:val="superscript"/>
          <w:lang w:eastAsia="cs-CZ"/>
        </w:rPr>
        <w:footnoteReference w:id="12"/>
      </w:r>
    </w:p>
    <w:p w:rsidRPr="00E37F96" w:rsidR="00E37F96" w:rsidP="00E37F96" w:rsidRDefault="00E37F96" w14:paraId="0EBD1CCB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zajistit, aby vztahy mezi příjemcem a jeho partnery, jejichž seznam je součástí Informace o projektu v příloze č. 1 těchto Podmínek, po celou dobu realizace projektu odpovídaly podmínkám partnerství uvedeným v Pravidlech OPZ.</w:t>
      </w:r>
    </w:p>
    <w:p w:rsidRPr="00E37F96" w:rsidR="00E37F96" w:rsidP="00E37F96" w:rsidRDefault="00E37F96" w14:paraId="08065916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uzavřít s partnery s finančním příspěvkem smlouvu, která vymezuje vzájemné vztahy a role jednotlivých partnerů s finančním příspěvkem v projektu. Smlouva podle předchozí věty může být nahrazena jednostranným písemným prohlášením partnera se stejným obsahem.</w:t>
      </w:r>
    </w:p>
    <w:p w:rsidRPr="00E37F96" w:rsidR="00E37F96" w:rsidP="00E37F96" w:rsidRDefault="00E37F96" w14:paraId="76946373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 Ve smlouvě s partnery s finančním příspěvkem je příjemce povinen zavázat partnery povinnostmi podle části II Podmínek. To se netýká bodů 3.2, 13 a 17. Pokud smlouvu nahrazuje jednostranné písemné prohlášení partnera, musí být součástí prohlášení závazek partnera dodržovat v tomto bodě uvedené povinnosti části II Podmínek (netýká se bodů 3.2, 13 a 17).</w:t>
      </w:r>
    </w:p>
    <w:p w:rsidRPr="00E37F96" w:rsidR="00E37F96" w:rsidP="00E37F96" w:rsidRDefault="00E37F96" w14:paraId="35B83767" w14:textId="77777777">
      <w:pPr>
        <w:numPr>
          <w:ilvl w:val="1"/>
          <w:numId w:val="8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odpovídá za splnění všech povinností partnerů s finančním příspěvkem podle části II uvedených v bodě 17.3. Pokud některý z partnerů poruší některou z těchto povinností, odpovídá příjemce podle části V těchto Podmínek, jako by tuto povinnost porušil sám.</w:t>
      </w:r>
    </w:p>
    <w:p w:rsidRPr="00E37F96" w:rsidR="00E37F96" w:rsidP="00E37F96" w:rsidRDefault="00E37F96" w14:paraId="7732315F" w14:textId="77777777">
      <w:pPr>
        <w:numPr>
          <w:ilvl w:val="1"/>
          <w:numId w:val="8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není oprávněn se svými partnery uzavírat v rámci tohoto projektu smluvní vztahy, jejichž předmětem je poskytování služeb, zboží nebo stavebních prací za úplatu. </w:t>
      </w:r>
    </w:p>
    <w:p w:rsidRPr="00E37F96" w:rsidR="00E37F96" w:rsidP="00E37F96" w:rsidRDefault="00E37F96" w14:paraId="5B9D0A3D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E37F96" w:rsidR="00E37F96" w:rsidP="00E37F96" w:rsidRDefault="00E37F96" w14:paraId="329EA266" w14:textId="77777777">
      <w:pPr>
        <w:keepNext/>
        <w:shd w:val="clear" w:color="auto" w:fill="E8E8E8"/>
        <w:spacing w:after="220" w:line="240" w:lineRule="auto"/>
        <w:jc w:val="both"/>
        <w:rPr>
          <w:rFonts w:ascii="Arial" w:hAnsi="Arial" w:eastAsia="Arial" w:cs="Arial"/>
          <w:b/>
        </w:rPr>
      </w:pPr>
      <w:r w:rsidRPr="00E37F96">
        <w:rPr>
          <w:rFonts w:ascii="Arial" w:hAnsi="Arial" w:eastAsia="Arial" w:cs="Arial"/>
          <w:b/>
        </w:rPr>
        <w:t xml:space="preserve">Část III – Specifické povinnosti příjemce týkající se realizace projektu </w:t>
      </w:r>
    </w:p>
    <w:p w:rsidRPr="00E37F96" w:rsidR="00E37F96" w:rsidP="00E37F96" w:rsidRDefault="00E37F96" w14:paraId="0AC8ED89" w14:textId="77777777">
      <w:pPr>
        <w:keepNext/>
        <w:numPr>
          <w:ilvl w:val="0"/>
          <w:numId w:val="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Vazba na výzvu k předkládání žádostí o podporu</w:t>
      </w:r>
    </w:p>
    <w:p w:rsidRPr="00E37F96" w:rsidR="00E37F96" w:rsidP="00E37F96" w:rsidRDefault="00E37F96" w14:paraId="594D6960" w14:textId="77777777">
      <w:pPr>
        <w:widowControl w:val="false"/>
        <w:tabs>
          <w:tab w:val="num" w:pos="720"/>
        </w:tabs>
        <w:overflowPunct w:val="false"/>
        <w:autoSpaceDE w:val="false"/>
        <w:autoSpaceDN w:val="false"/>
        <w:adjustRightInd w:val="false"/>
        <w:spacing w:after="6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během realizace projektu dodržovat tyto podmínky, jež vycházejí z výzvy k předkládání žádostí o podporu, na základě které byl projekt vybrán k poskytnutí podpory:</w:t>
      </w:r>
    </w:p>
    <w:p w:rsidRPr="00E37F96" w:rsidR="00E37F96" w:rsidP="00E37F96" w:rsidRDefault="00E37F96" w14:paraId="09D06218" w14:textId="77777777">
      <w:pPr>
        <w:numPr>
          <w:ilvl w:val="0"/>
          <w:numId w:val="10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Cílovými skupinami projektu mohou být pouze:</w:t>
      </w:r>
    </w:p>
    <w:p w:rsidRPr="00E37F96" w:rsidR="00E37F96" w:rsidP="00E37F96" w:rsidRDefault="00E37F96" w14:paraId="1A4FDA82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20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…</w:t>
      </w:r>
    </w:p>
    <w:p w:rsidRPr="00E37F96" w:rsidR="00E37F96" w:rsidP="00E37F96" w:rsidRDefault="00E37F96" w14:paraId="047E7204" w14:textId="77777777">
      <w:pPr>
        <w:numPr>
          <w:ilvl w:val="0"/>
          <w:numId w:val="10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Aktivity projektu musí spadat do vymezení:</w:t>
      </w:r>
    </w:p>
    <w:p w:rsidRPr="00E37F96" w:rsidR="00E37F96" w:rsidP="00E37F96" w:rsidRDefault="00E37F96" w14:paraId="01E8AD31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20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…</w:t>
      </w:r>
    </w:p>
    <w:p w:rsidRPr="00E37F96" w:rsidR="00E37F96" w:rsidP="00E37F96" w:rsidRDefault="00E37F96" w14:paraId="5648EAF2" w14:textId="77777777">
      <w:pPr>
        <w:numPr>
          <w:ilvl w:val="0"/>
          <w:numId w:val="10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Územní vymezení:</w:t>
      </w:r>
    </w:p>
    <w:p w:rsidR="00E37F96" w:rsidP="00E37F96" w:rsidRDefault="00E37F96" w14:paraId="466A1DF5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20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…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13"/>
      </w:r>
    </w:p>
    <w:p w:rsidR="00E37F96" w:rsidRDefault="00E37F96" w14:paraId="700C1AE4" w14:textId="77777777">
      <w:pPr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br w:type="page"/>
      </w:r>
    </w:p>
    <w:p w:rsidRPr="00E37F96" w:rsidR="00E37F96" w:rsidP="00E37F96" w:rsidRDefault="00E37F96" w14:paraId="1B708355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20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</w:p>
    <w:p w:rsidRPr="00E37F96" w:rsidR="00E37F96" w:rsidP="00E37F96" w:rsidRDefault="00E37F96" w14:paraId="466B19F0" w14:textId="77777777">
      <w:pPr>
        <w:numPr>
          <w:ilvl w:val="0"/>
          <w:numId w:val="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Podmínky monitorování projektu </w:t>
      </w:r>
    </w:p>
    <w:p w:rsidRPr="00E37F96" w:rsidR="00E37F96" w:rsidP="00E37F96" w:rsidRDefault="00E37F96" w14:paraId="15CEDFA9" w14:textId="77777777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naplnit celkové cílové hodnoty indikátorů uvedených v Informaci o projektu v příloze č. 1 těchto Podmínek; definice indikátorů je obsažena v Pravidlech OPZ.</w:t>
      </w:r>
    </w:p>
    <w:p w:rsidRPr="00E37F96" w:rsidR="00E37F96" w:rsidP="00E37F96" w:rsidRDefault="00E37F96" w14:paraId="3C671735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Celkovou cílovou hodnotu indikátorů výstupů, resp. výsledků příjemce naplní, pokud celková míra naplnění indikátorů výstupů, resp. výsledků dosáhne 100 %.</w:t>
      </w:r>
    </w:p>
    <w:p w:rsidRPr="00E37F96" w:rsidR="00E37F96" w:rsidP="00E37F96" w:rsidRDefault="00E37F96" w14:paraId="59F22AAA" w14:textId="77777777">
      <w:pPr>
        <w:widowControl w:val="false"/>
        <w:tabs>
          <w:tab w:val="num" w:pos="567"/>
        </w:tabs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Pro zjištění celkové míry naplnění indikátorů výstupů se sečtou procenta naplnění cílových hodnot uvedených v Informaci o projektu v příloze č. 1 těchto Podmínek u jednotlivých indikátorů výstupů a vydělí se počtem těchto indikátorů. Pokud nebyla vyčerpána celková maximální výše podpory, snižují se cílové hodnoty v Informaci o projektu v příloze č. 1 těchto Podmínek tak, že se vynásobí podílem skutečně vyčerpané částky podpory k celkové maximální výši podpory. Překročení cílové hodnoty jednotlivých indikátorů výstupů bude zohledněno maximálně v míře 120 %. Při zjištění celkové míry naplnění indikátorů výsledků se postupuje obdobně.</w:t>
      </w:r>
    </w:p>
    <w:p w:rsidRPr="00E37F96" w:rsidR="00E37F96" w:rsidP="00E37F96" w:rsidRDefault="00E37F96" w14:paraId="3A5B9081" w14:textId="77777777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Příjemce je povinen předávat MPSV údaje nezbytné k průběžnému sledování přínosů projektu (monitorování projektu) a to prostřednictvím zpráv o realizaci projektu a aktualizace údajů v IS KP14+ o zakázkách a kontrolách/auditech týkajících se projektu (s výjimkou kontrol provedených MPSV). Průběžnou zprávu o realizaci projektu je příjemce povinen předložit do konce prvního měsíce následujícího po ukončení monitorovacího období, závěrečnou zprávu o realizaci projektu do konce druhého měsíce následujícího po ukončení monitorovacího období. V případě, že monitorovací období skončí v jiný než poslední den kalendářního měsíce, pak platí lhůta 30 dní, resp. 60 dní v případě závěrečné zprávy o realizaci ode dne ukončení daného monitorovacího období.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14"/>
      </w:r>
      <w:r w:rsidRPr="00E37F96">
        <w:rPr>
          <w:rFonts w:ascii="Arial" w:hAnsi="Arial" w:eastAsia="Times New Roman" w:cs="Arial"/>
          <w:lang w:eastAsia="cs-CZ"/>
        </w:rPr>
        <w:t xml:space="preserve"> Aktualizaci údajů v IS KP14+ o zakázkách a  kontrolách/auditech týkajících se projektu příjemce provádí minimálně k termínům pro předložení zpráv o realizaci projektu.</w:t>
      </w:r>
    </w:p>
    <w:p w:rsidRPr="00E37F96" w:rsidR="00E37F96" w:rsidP="00E37F96" w:rsidRDefault="00E37F96" w14:paraId="65C3690C" w14:textId="77777777">
      <w:pPr>
        <w:widowControl w:val="false"/>
        <w:tabs>
          <w:tab w:val="num" w:pos="720"/>
        </w:tabs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Vymezení monitorovacích období projektu, za které je příjemce povinen předložit zprávu o realizaci projektu:</w:t>
      </w:r>
    </w:p>
    <w:p w:rsidRPr="00E37F96" w:rsidR="00E37F96" w:rsidP="00E37F96" w:rsidRDefault="00E37F96" w14:paraId="14A1D671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207" w:firstLine="360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…</w:t>
      </w:r>
    </w:p>
    <w:p w:rsidRPr="00E37F96" w:rsidR="00E37F96" w:rsidP="00E37F96" w:rsidRDefault="00E37F96" w14:paraId="1FAC61CD" w14:textId="77777777">
      <w:pPr>
        <w:numPr>
          <w:ilvl w:val="1"/>
          <w:numId w:val="9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předkládat zprávy o realizaci projektu ve formátu, který MPSV pro projekt nastaví v informačním systému MS2014+. </w:t>
      </w:r>
    </w:p>
    <w:p w:rsidRPr="00E37F96" w:rsidR="00E37F96" w:rsidP="00E37F96" w:rsidRDefault="00E37F96" w14:paraId="3330CA84" w14:textId="77777777">
      <w:pPr>
        <w:numPr>
          <w:ilvl w:val="1"/>
          <w:numId w:val="9"/>
        </w:numPr>
        <w:tabs>
          <w:tab w:val="num" w:pos="720"/>
        </w:tabs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Nápravy nedostatků žádostí o změnu projektu, zpráv o realizaci projektu (včetně spolu s nimi předložených žádostí o platbu) a případně další související dokumentace vyžádané MPSV je příjemce povinen předkládat v termínech stanovených MPSV.</w:t>
      </w:r>
    </w:p>
    <w:p w:rsidRPr="00E37F96" w:rsidR="00E37F96" w:rsidP="00E37F96" w:rsidRDefault="00E37F96" w14:paraId="71D60A02" w14:textId="77777777">
      <w:pPr>
        <w:numPr>
          <w:ilvl w:val="0"/>
          <w:numId w:val="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Veřejná podpora a podpora de minimis</w:t>
      </w:r>
    </w:p>
    <w:p w:rsidRPr="00E37F96" w:rsidR="00E37F96" w:rsidP="00E37F96" w:rsidRDefault="00E37F96" w14:paraId="3B4AE9AF" w14:textId="77777777">
      <w:pPr>
        <w:spacing w:before="40" w:after="40" w:line="240" w:lineRule="auto"/>
        <w:jc w:val="both"/>
        <w:rPr>
          <w:rFonts w:ascii="Arial" w:hAnsi="Arial" w:eastAsia="Arial" w:cs="Arial"/>
          <w:b/>
          <w:bCs/>
          <w:i/>
        </w:rPr>
      </w:pPr>
      <w:r w:rsidRPr="00E37F96">
        <w:rPr>
          <w:rFonts w:ascii="Arial" w:hAnsi="Arial" w:eastAsia="Arial" w:cs="Arial"/>
          <w:b/>
          <w:bCs/>
          <w:i/>
        </w:rPr>
        <w:t>Možnost A</w:t>
      </w:r>
    </w:p>
    <w:p w:rsidRPr="00E37F96" w:rsidR="00E37F96" w:rsidP="00E37F96" w:rsidRDefault="00E37F96" w14:paraId="43F3BB43" w14:textId="77777777">
      <w:pPr>
        <w:spacing w:before="40" w:after="40" w:line="240" w:lineRule="auto"/>
        <w:ind w:right="181"/>
        <w:jc w:val="both"/>
        <w:rPr>
          <w:rFonts w:ascii="Arial" w:hAnsi="Arial" w:eastAsia="Arial" w:cs="Arial"/>
          <w:i/>
        </w:rPr>
      </w:pPr>
      <w:r w:rsidRPr="00E37F96">
        <w:rPr>
          <w:rFonts w:ascii="Arial" w:hAnsi="Arial" w:eastAsia="Arial" w:cs="Arial"/>
          <w:i/>
        </w:rPr>
        <w:t>(platí pro projekty, které nezakládají veřejnou podporu žádnému subjektu)</w:t>
      </w:r>
    </w:p>
    <w:p w:rsidRPr="00E37F96" w:rsidR="00E37F96" w:rsidP="00E37F96" w:rsidRDefault="00E37F96" w14:paraId="7863C743" w14:textId="77777777">
      <w:pPr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Podpora poskytnutá na realizaci projektu nezakládá veřejnou podporu. </w:t>
      </w:r>
    </w:p>
    <w:p w:rsidRPr="00E37F96" w:rsidR="00E37F96" w:rsidP="00E37F96" w:rsidRDefault="00E37F96" w14:paraId="26E051F3" w14:textId="77777777">
      <w:pPr>
        <w:spacing w:before="40" w:after="40" w:line="240" w:lineRule="auto"/>
        <w:jc w:val="both"/>
        <w:rPr>
          <w:rFonts w:ascii="Arial" w:hAnsi="Arial" w:eastAsia="Arial" w:cs="Arial"/>
          <w:b/>
          <w:bCs/>
          <w:i/>
        </w:rPr>
      </w:pPr>
      <w:r w:rsidRPr="00E37F96">
        <w:rPr>
          <w:rFonts w:ascii="Arial" w:hAnsi="Arial" w:eastAsia="Arial" w:cs="Arial"/>
          <w:b/>
          <w:bCs/>
          <w:i/>
        </w:rPr>
        <w:t>Možnost B</w:t>
      </w:r>
    </w:p>
    <w:p w:rsidRPr="00E37F96" w:rsidR="00E37F96" w:rsidP="00E37F96" w:rsidRDefault="00E37F96" w14:paraId="06B48D74" w14:textId="77777777">
      <w:pPr>
        <w:spacing w:before="40" w:after="40" w:line="240" w:lineRule="auto"/>
        <w:ind w:right="181"/>
        <w:jc w:val="both"/>
        <w:rPr>
          <w:rFonts w:ascii="Arial" w:hAnsi="Arial" w:eastAsia="Arial" w:cs="Arial"/>
          <w:i/>
        </w:rPr>
      </w:pPr>
      <w:r w:rsidRPr="00E37F96">
        <w:rPr>
          <w:rFonts w:ascii="Arial" w:hAnsi="Arial" w:eastAsia="Arial" w:cs="Arial"/>
          <w:i/>
        </w:rPr>
        <w:t>(platí pro projekty, kde je část prostředků vyhrazena na zapojení dalších subjektů)</w:t>
      </w:r>
    </w:p>
    <w:p w:rsidRPr="00E37F96" w:rsidR="00E37F96" w:rsidP="00E37F96" w:rsidRDefault="00E37F96" w14:paraId="57A35B21" w14:textId="77777777">
      <w:pPr>
        <w:keepNext/>
        <w:numPr>
          <w:ilvl w:val="1"/>
          <w:numId w:val="9"/>
        </w:numPr>
        <w:tabs>
          <w:tab w:val="num" w:pos="720"/>
        </w:tabs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Projekt je z hlediska veřejné podpory následujícího charakteru: </w:t>
      </w:r>
    </w:p>
    <w:tbl>
      <w:tblPr>
        <w:tblW w:w="4925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17"/>
        <w:gridCol w:w="3481"/>
        <w:gridCol w:w="2928"/>
      </w:tblGrid>
      <w:tr w:rsidRPr="00E37F96" w:rsidR="00E37F96" w:rsidTr="00C5422F" w14:paraId="26F58E50" w14:textId="77777777"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30EBDF79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7F96" w:rsidR="00E37F96" w:rsidP="00E37F96" w:rsidRDefault="00E37F96" w14:paraId="63E900AB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Část projektu na zapojení dalších subjektů</w:t>
            </w: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  <w:vertAlign w:val="superscript"/>
              </w:rPr>
              <w:footnoteReference w:id="15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7CCB868B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b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b/>
                <w:snapToGrid w:val="false"/>
                <w:sz w:val="20"/>
              </w:rPr>
              <w:t>Část projektu nezakládající veřejnou podporu</w:t>
            </w:r>
          </w:p>
        </w:tc>
      </w:tr>
      <w:tr w:rsidRPr="00E37F96" w:rsidR="00E37F96" w:rsidTr="00C5422F" w14:paraId="38350E83" w14:textId="77777777">
        <w:tc>
          <w:tcPr>
            <w:tcW w:w="2558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37F96" w:rsidR="00E37F96" w:rsidP="00E37F96" w:rsidRDefault="00E37F96" w14:paraId="35616ACE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  <w:szCs w:val="24"/>
              </w:rPr>
            </w:pPr>
          </w:p>
        </w:tc>
        <w:tc>
          <w:tcPr>
            <w:tcW w:w="3538" w:type="dxa"/>
          </w:tcPr>
          <w:p w:rsidRPr="00E37F96" w:rsidR="00E37F96" w:rsidP="00E37F96" w:rsidRDefault="00E37F96" w14:paraId="754B2F35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szCs w:val="24"/>
              </w:rPr>
              <w:t>v Kč</w:t>
            </w:r>
          </w:p>
        </w:tc>
        <w:tc>
          <w:tcPr>
            <w:tcW w:w="2976" w:type="dxa"/>
            <w:vAlign w:val="center"/>
          </w:tcPr>
          <w:p w:rsidRPr="00E37F96" w:rsidR="00E37F96" w:rsidP="00E37F96" w:rsidRDefault="00E37F96" w14:paraId="605F044E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  <w:szCs w:val="24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  <w:szCs w:val="24"/>
              </w:rPr>
              <w:t>v Kč</w:t>
            </w:r>
          </w:p>
        </w:tc>
      </w:tr>
      <w:tr w:rsidRPr="00E37F96" w:rsidR="00E37F96" w:rsidTr="00C5422F" w14:paraId="0EF352E1" w14:textId="77777777">
        <w:tc>
          <w:tcPr>
            <w:tcW w:w="2558" w:type="dxa"/>
            <w:tcBorders>
              <w:top w:val="single" w:color="auto" w:sz="12" w:space="0"/>
            </w:tcBorders>
            <w:vAlign w:val="center"/>
          </w:tcPr>
          <w:p w:rsidRPr="00E37F96" w:rsidR="00E37F96" w:rsidP="00E37F96" w:rsidRDefault="00E37F96" w14:paraId="667A79D3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napToGrid w:val="false"/>
                <w:sz w:val="20"/>
              </w:rPr>
              <w:t>Částka způs. výdajů očištěných o příjmy</w:t>
            </w:r>
          </w:p>
        </w:tc>
        <w:tc>
          <w:tcPr>
            <w:tcW w:w="3538" w:type="dxa"/>
            <w:tcBorders>
              <w:top w:val="single" w:color="auto" w:sz="12" w:space="0"/>
            </w:tcBorders>
            <w:vAlign w:val="center"/>
          </w:tcPr>
          <w:p w:rsidRPr="00E37F96" w:rsidR="00E37F96" w:rsidP="00E37F96" w:rsidRDefault="00E37F96" w14:paraId="03A08360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976" w:type="dxa"/>
            <w:tcBorders>
              <w:top w:val="single" w:color="auto" w:sz="12" w:space="0"/>
            </w:tcBorders>
            <w:vAlign w:val="center"/>
          </w:tcPr>
          <w:p w:rsidRPr="00E37F96" w:rsidR="00E37F96" w:rsidP="00E37F96" w:rsidRDefault="00E37F96" w14:paraId="3FDCA6AF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napToGrid w:val="false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[…]</w:t>
            </w:r>
          </w:p>
        </w:tc>
      </w:tr>
    </w:tbl>
    <w:p w:rsidRPr="00E37F96" w:rsidR="00E37F96" w:rsidP="00E37F96" w:rsidRDefault="00E37F96" w14:paraId="27BF4A45" w14:textId="77777777">
      <w:pPr>
        <w:numPr>
          <w:ilvl w:val="1"/>
          <w:numId w:val="9"/>
        </w:numPr>
        <w:shd w:val="clear" w:color="auto" w:fill="D0D0D0"/>
        <w:tabs>
          <w:tab w:val="num" w:pos="720"/>
        </w:tabs>
        <w:spacing w:before="120"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Poskytovatelem veřejné podpory či podpory de minimis v rámci projektu je MPSV.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16"/>
      </w:r>
      <w:r w:rsidRPr="00E37F96">
        <w:rPr>
          <w:rFonts w:ascii="Arial" w:hAnsi="Arial" w:eastAsia="Times New Roman" w:cs="Arial"/>
          <w:lang w:eastAsia="cs-CZ"/>
        </w:rPr>
        <w:t xml:space="preserve"> </w:t>
      </w:r>
    </w:p>
    <w:p w:rsidRPr="00E37F96" w:rsidR="00E37F96" w:rsidP="00E37F96" w:rsidRDefault="00E37F96" w14:paraId="70910C4F" w14:textId="77777777">
      <w:pPr>
        <w:numPr>
          <w:ilvl w:val="1"/>
          <w:numId w:val="9"/>
        </w:numPr>
        <w:shd w:val="clear" w:color="auto" w:fill="D0D0D0"/>
        <w:tabs>
          <w:tab w:val="num" w:pos="720"/>
        </w:tabs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v souvislosti s poskytováním veřejné podpory či podpory de minimis dalším subjektům zajistit pro MPSV před poskytnutím veřejné podpory či podpory de minimis partnerovi(ům) podklady k poskytnutí této podpory a také podklady k ověření, zda daný subjekt splňuje podmínky pro zvolený režim podpory dle platných právních předpisů, a to s využitím formulářů, které MPSV zveřejní na webovém portálu </w:t>
      </w:r>
      <w:hyperlink w:history="true" r:id="rId11">
        <w:r w:rsidRPr="00E37F96">
          <w:rPr>
            <w:rFonts w:ascii="Arial" w:hAnsi="Arial" w:eastAsia="Times New Roman" w:cs="Arial"/>
            <w:color w:val="084A8B"/>
            <w:u w:val="single"/>
            <w:lang w:eastAsia="cs-CZ"/>
          </w:rPr>
          <w:t>www.esfcr.cz</w:t>
        </w:r>
      </w:hyperlink>
      <w:r w:rsidRPr="00E37F96">
        <w:rPr>
          <w:rFonts w:ascii="Arial" w:hAnsi="Arial" w:eastAsia="Times New Roman" w:cs="Arial"/>
          <w:lang w:eastAsia="cs-CZ"/>
        </w:rPr>
        <w:t xml:space="preserve"> (používají se vždy aktuální formuláře).</w:t>
      </w:r>
    </w:p>
    <w:p w:rsidRPr="00E37F96" w:rsidR="00E37F96" w:rsidP="00E37F96" w:rsidRDefault="00E37F96" w14:paraId="07922B56" w14:textId="77777777">
      <w:pPr>
        <w:numPr>
          <w:ilvl w:val="1"/>
          <w:numId w:val="9"/>
        </w:numPr>
        <w:shd w:val="clear" w:color="auto" w:fill="D0D0D0"/>
        <w:tabs>
          <w:tab w:val="num" w:pos="720"/>
        </w:tabs>
        <w:spacing w:after="22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Pokud to aplikovaný režim veřejné podpory a rozhodnutí MPSV vyžaduje, příjemce je povinen od subjektů, kterým je veřejná podpora poskytnuta, zajistit spolufinancování z jejich zdrojů. Spolufinancování projektu ze zdrojů dalšího subjektu je příjmem projektu, který je příjemce povinen oznámit v rámci zprávy o realizaci projektu.</w:t>
      </w:r>
    </w:p>
    <w:p w:rsidRPr="00E37F96" w:rsidR="00E37F96" w:rsidP="00E37F96" w:rsidRDefault="00E37F96" w14:paraId="0D9546CE" w14:textId="77777777">
      <w:pPr>
        <w:keepNext/>
        <w:numPr>
          <w:ilvl w:val="0"/>
          <w:numId w:val="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Evaluační plán, evaluační zpráva a shrnutí sociální inovace</w:t>
      </w:r>
      <w:r w:rsidRPr="00E37F96">
        <w:rPr>
          <w:rFonts w:ascii="Arial" w:hAnsi="Arial" w:eastAsia="Times New Roman" w:cs="Arial"/>
          <w:b/>
          <w:bCs/>
          <w:vertAlign w:val="superscript"/>
          <w:lang w:eastAsia="cs-CZ"/>
        </w:rPr>
        <w:footnoteReference w:id="17"/>
      </w:r>
    </w:p>
    <w:p w:rsidRPr="00E37F96" w:rsidR="00E37F96" w:rsidP="00E37F96" w:rsidRDefault="00E37F96" w14:paraId="32CA0808" w14:textId="77777777">
      <w:pPr>
        <w:numPr>
          <w:ilvl w:val="1"/>
          <w:numId w:val="9"/>
        </w:numPr>
        <w:tabs>
          <w:tab w:val="num" w:pos="720"/>
        </w:tabs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Nejpozději s první zprávou o realizaci projektu je příjemce povinen předložit poskytovateli evaluační plán zpracovaný v souladu s požadavky uvedenými v …, která je přílohou č. 2 těchto Podmínek.</w:t>
      </w:r>
    </w:p>
    <w:p w:rsidRPr="00E37F96" w:rsidR="00E37F96" w:rsidP="00E37F96" w:rsidRDefault="00E37F96" w14:paraId="0BA2E16B" w14:textId="77777777">
      <w:pPr>
        <w:numPr>
          <w:ilvl w:val="1"/>
          <w:numId w:val="9"/>
        </w:numPr>
        <w:tabs>
          <w:tab w:val="num" w:pos="720"/>
        </w:tabs>
        <w:spacing w:after="22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Nejpozději se závěrečnou zprávou o realizaci projektu je příjemce povinen předložit poskytovateli závěrečnou evaluační zprávu a shrnutí sociální inovace v souladu s požadavky uvedenými v …, která je přílohou č. 2 těchto Podmínek.</w:t>
      </w:r>
    </w:p>
    <w:p w:rsidRPr="00E37F96" w:rsidR="00E37F96" w:rsidP="00E37F96" w:rsidRDefault="00E37F96" w14:paraId="02AE766E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E37F96" w:rsidR="00E37F96" w:rsidP="00E37F96" w:rsidRDefault="00E37F96" w14:paraId="7A02020B" w14:textId="77777777">
      <w:pPr>
        <w:shd w:val="clear" w:color="auto" w:fill="E8E8E8"/>
        <w:spacing w:after="220" w:line="240" w:lineRule="auto"/>
        <w:jc w:val="both"/>
        <w:rPr>
          <w:rFonts w:ascii="Arial" w:hAnsi="Arial" w:eastAsia="Arial" w:cs="Arial"/>
          <w:b/>
        </w:rPr>
      </w:pPr>
      <w:r w:rsidRPr="00E37F96">
        <w:rPr>
          <w:rFonts w:ascii="Arial" w:hAnsi="Arial" w:eastAsia="Arial" w:cs="Arial"/>
          <w:b/>
        </w:rPr>
        <w:t xml:space="preserve">Část IV - Platební podmínky </w:t>
      </w:r>
    </w:p>
    <w:p w:rsidRPr="00E37F96" w:rsidR="00E37F96" w:rsidP="00E37F96" w:rsidRDefault="00E37F96" w14:paraId="3A156705" w14:textId="77777777">
      <w:pPr>
        <w:numPr>
          <w:ilvl w:val="0"/>
          <w:numId w:val="5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Žádost o platbu </w:t>
      </w:r>
    </w:p>
    <w:p w:rsidRPr="00E37F96" w:rsidR="00E37F96" w:rsidP="00E37F96" w:rsidRDefault="00E37F96" w14:paraId="621E0182" w14:textId="77777777">
      <w:pPr>
        <w:numPr>
          <w:ilvl w:val="1"/>
          <w:numId w:val="5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předkládat MPSV spolu s každou zprávou o realizaci projektu řádně vyplněnou žádost o platbu podloženou příslušnými doklady dle Pravidel OPZ. </w:t>
      </w:r>
    </w:p>
    <w:p w:rsidRPr="00E37F96" w:rsidR="00E37F96" w:rsidP="00E37F96" w:rsidRDefault="00E37F96" w14:paraId="342CB823" w14:textId="77777777">
      <w:pPr>
        <w:numPr>
          <w:ilvl w:val="1"/>
          <w:numId w:val="5"/>
        </w:numPr>
        <w:spacing w:after="24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předkládat žádosti o platbu ve formátu, který MPSV pro projekt nastaví v informačním systému MS2014+. </w:t>
      </w:r>
    </w:p>
    <w:p w:rsidRPr="00E37F96" w:rsidR="00E37F96" w:rsidP="00E37F96" w:rsidRDefault="00E37F96" w14:paraId="32A0DD60" w14:textId="77777777">
      <w:pPr>
        <w:keepNext/>
        <w:numPr>
          <w:ilvl w:val="0"/>
          <w:numId w:val="5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Finanční toky</w:t>
      </w:r>
    </w:p>
    <w:p w:rsidRPr="00E37F96" w:rsidR="00E37F96" w:rsidP="00E37F96" w:rsidRDefault="00E37F96" w14:paraId="60596A5D" w14:textId="77777777">
      <w:pPr>
        <w:keepNext/>
        <w:spacing w:after="120" w:line="240" w:lineRule="auto"/>
        <w:jc w:val="both"/>
        <w:rPr>
          <w:rFonts w:ascii="Arial" w:hAnsi="Arial" w:eastAsia="Times New Roman" w:cs="Arial"/>
          <w:i/>
          <w:lang w:eastAsia="cs-CZ"/>
        </w:rPr>
      </w:pPr>
      <w:r w:rsidRPr="00E37F96">
        <w:rPr>
          <w:rFonts w:ascii="Arial" w:hAnsi="Arial" w:eastAsia="Times New Roman" w:cs="Arial"/>
          <w:i/>
          <w:lang w:eastAsia="cs-CZ"/>
        </w:rPr>
        <w:t xml:space="preserve">Varianta č. 1 </w:t>
      </w:r>
    </w:p>
    <w:p w:rsidRPr="00E37F96" w:rsidR="00E37F96" w:rsidP="00E37F96" w:rsidRDefault="00E37F96" w14:paraId="61525E5B" w14:textId="77777777">
      <w:pPr>
        <w:keepNext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Příjemce je povinen zabezpečit prostředky na realizaci projektu odpovídající podílu ESF a podílu státního rozpočtu ve své rozpočtové kapitole, a to buď dle § 24 odst. 4 rozpočtových pravidel, nebo narozpočtováním prostředků při přípravě návrhu státního rozpočtu. </w:t>
      </w:r>
    </w:p>
    <w:p w:rsidRPr="00E37F96" w:rsidR="00E37F96" w:rsidP="00E37F96" w:rsidRDefault="00E37F96" w14:paraId="2FFAAA77" w14:textId="77777777">
      <w:pPr>
        <w:keepNext/>
        <w:spacing w:after="120" w:line="240" w:lineRule="auto"/>
        <w:jc w:val="both"/>
        <w:rPr>
          <w:rFonts w:ascii="Arial" w:hAnsi="Arial" w:eastAsia="Times New Roman" w:cs="Arial"/>
          <w:i/>
          <w:lang w:eastAsia="cs-CZ"/>
        </w:rPr>
      </w:pPr>
      <w:r w:rsidRPr="00E37F96">
        <w:rPr>
          <w:rFonts w:ascii="Arial" w:hAnsi="Arial" w:eastAsia="Times New Roman" w:cs="Arial"/>
          <w:i/>
          <w:lang w:eastAsia="cs-CZ"/>
        </w:rPr>
        <w:t xml:space="preserve">Varianta č. 2 </w:t>
      </w:r>
    </w:p>
    <w:p w:rsidRPr="00E37F96" w:rsidR="00E37F96" w:rsidP="00E37F96" w:rsidRDefault="00E37F96" w14:paraId="3E6A762A" w14:textId="77777777">
      <w:pPr>
        <w:keepNext/>
        <w:numPr>
          <w:ilvl w:val="1"/>
          <w:numId w:val="5"/>
        </w:numPr>
        <w:tabs>
          <w:tab w:val="num" w:pos="720"/>
        </w:tabs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Na první rok realizace projektu, tj. rok …..  budou MPSV příjemci převedeny prostředky pomocí rozpočtového opatření v celkové výši …….. Kč, z toho prostředky ve výši …….. Kč jsou určeny na pokrytí ESF podílu, prostředky ve výši ……. Kč jsou určeny na pokrytí národního spolufinancování.  </w:t>
      </w:r>
    </w:p>
    <w:p w:rsidRPr="00E37F96" w:rsidR="00E37F96" w:rsidP="00E37F96" w:rsidRDefault="00E37F96" w14:paraId="1544086B" w14:textId="77777777">
      <w:pPr>
        <w:numPr>
          <w:ilvl w:val="1"/>
          <w:numId w:val="5"/>
        </w:numPr>
        <w:tabs>
          <w:tab w:val="num" w:pos="720"/>
        </w:tabs>
        <w:spacing w:after="24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Na další roky realizace projektu je příjemce povinen zabezpečit si prostředky na předfinancování odpovídající podílu ESF a rovněž podílu národního spolufinancování v rámci své organizační složky státu, a to buď narozpočtováním prostředků při přípravě návrhu státního rozpočtu nebo dle § 24 odst. 4 zákona č. 218/2000 Sb., o rozpočtových pravidlech.</w:t>
      </w:r>
    </w:p>
    <w:p w:rsidRPr="00E37F96" w:rsidR="00E37F96" w:rsidP="00E37F96" w:rsidRDefault="00E37F96" w14:paraId="6E03BE92" w14:textId="77777777">
      <w:pPr>
        <w:numPr>
          <w:ilvl w:val="0"/>
          <w:numId w:val="5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Nepřímé náklady / Paušální sazba</w:t>
      </w:r>
    </w:p>
    <w:p w:rsidRPr="00E37F96" w:rsidR="00E37F96" w:rsidP="00E37F96" w:rsidRDefault="00E37F96" w14:paraId="20B2CEBE" w14:textId="77777777">
      <w:pPr>
        <w:widowControl w:val="false"/>
        <w:tabs>
          <w:tab w:val="num" w:pos="720"/>
        </w:tabs>
        <w:overflowPunct w:val="false"/>
        <w:autoSpaceDE w:val="false"/>
        <w:autoSpaceDN w:val="false"/>
        <w:adjustRightInd w:val="false"/>
        <w:spacing w:after="6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Nepřímé náklady projektu jsou považovány za uskutečněné ve výši, která je výsledkem násobku procenta nepřímých nákladů platného pro projekt a částky odpovídající prokázaným způsobilým přímým nákladům projektu.</w:t>
      </w:r>
    </w:p>
    <w:p w:rsidRPr="00E37F96" w:rsidR="00E37F96" w:rsidP="00E37F96" w:rsidRDefault="00E37F96" w14:paraId="06B2117D" w14:textId="77777777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Procento nepřímých nákladů platné pro projekt: […] %</w:t>
      </w:r>
    </w:p>
    <w:p w:rsidRPr="00E37F96" w:rsidR="00E37F96" w:rsidP="00E37F96" w:rsidRDefault="00E37F96" w14:paraId="7855A04E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Procento nepřímých nákladů bude odpovídajícím způsobem sníženo, pokud na základě vyúčtování celkových uskutečněných přímých způsobilých výdajů projektu bude projekt patřit do kategorie projektů s nižším procentem nepřímých nákladů, než bylo stanoveno na základě plánovaného rozpočtu projektu.</w:t>
      </w:r>
    </w:p>
    <w:p w:rsidRPr="00E37F96" w:rsidR="00E37F96" w:rsidP="00E37F96" w:rsidRDefault="00E37F96" w14:paraId="07F3BD83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/</w:t>
      </w:r>
    </w:p>
    <w:p w:rsidRPr="00E37F96" w:rsidR="00E37F96" w:rsidP="00E37F96" w:rsidRDefault="00E37F96" w14:paraId="2CB9F0BB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Výdaje kryté paušální sazbou jsou považovány za uskutečněné ve výši, která je výsledkem násobku 40 % a částky odpovídající prokázaným způsobilým osobním nákladům projektu.</w:t>
      </w:r>
    </w:p>
    <w:p w:rsidRPr="00E37F96" w:rsidR="00E37F96" w:rsidP="00E37F96" w:rsidRDefault="00E37F96" w14:paraId="7454FADD" w14:textId="77777777">
      <w:pPr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</w:p>
    <w:p w:rsidRPr="00E37F96" w:rsidR="00E37F96" w:rsidP="00E37F96" w:rsidRDefault="00E37F96" w14:paraId="7B28F4AE" w14:textId="77777777">
      <w:pPr>
        <w:shd w:val="clear" w:color="auto" w:fill="E8E8E8"/>
        <w:spacing w:after="220" w:line="240" w:lineRule="auto"/>
        <w:jc w:val="both"/>
        <w:rPr>
          <w:rFonts w:ascii="Arial" w:hAnsi="Arial" w:eastAsia="Arial" w:cs="Arial"/>
          <w:b/>
        </w:rPr>
      </w:pPr>
      <w:r w:rsidRPr="00E37F96">
        <w:rPr>
          <w:rFonts w:ascii="Arial" w:hAnsi="Arial" w:eastAsia="Arial" w:cs="Arial"/>
          <w:b/>
        </w:rPr>
        <w:t xml:space="preserve">Část V - Sankce </w:t>
      </w:r>
    </w:p>
    <w:p w:rsidRPr="00E37F96" w:rsidR="00E37F96" w:rsidP="00E37F96" w:rsidRDefault="00E37F96" w14:paraId="6D3FB5EA" w14:textId="77777777">
      <w:pPr>
        <w:numPr>
          <w:ilvl w:val="0"/>
          <w:numId w:val="6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Pozastavení financování</w:t>
      </w:r>
    </w:p>
    <w:p w:rsidRPr="00E37F96" w:rsidR="00E37F96" w:rsidP="00E37F96" w:rsidRDefault="00E37F96" w14:paraId="4032B1D7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Pokud MPSV nebo jiná osoba oprávněná ke kontrole dodržování podmínek dle těchto Podmínek zjistí, že příjemce nesplnil nebo neplní některou z povinností uvedených v těchto Podmínkách, je MPSV oprávněno pozastavit financování projektu z prostředků OPZ a zahájit potřebné kroky vedoucí k identifikaci, zda nevzniklo podezření na porušení rozpočtové kázně podle rozpočtových pravidel.</w:t>
      </w:r>
    </w:p>
    <w:p w:rsidRPr="00E37F96" w:rsidR="00E37F96" w:rsidP="00E37F96" w:rsidRDefault="00E37F96" w14:paraId="73DD6B3B" w14:textId="77777777">
      <w:pPr>
        <w:numPr>
          <w:ilvl w:val="0"/>
          <w:numId w:val="6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Předčasné ukončení realizace z důvodu nedosažení milníků</w:t>
      </w:r>
    </w:p>
    <w:p w:rsidRPr="00E37F96" w:rsidR="00E37F96" w:rsidP="00E37F96" w:rsidRDefault="00E37F96" w14:paraId="1067A661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Pokud do termínu ….. nebudou způsobilé výdaje projektu schválené na základě předložených žádostí o platbu dosahovat minimálně … Kč, nebo pokud plnění indikátoru … </w:t>
      </w:r>
      <w:r w:rsidRPr="00E37F96">
        <w:rPr>
          <w:rFonts w:ascii="Arial" w:hAnsi="Arial" w:eastAsia="Times New Roman" w:cs="Arial"/>
          <w:i/>
          <w:lang w:eastAsia="cs-CZ"/>
        </w:rPr>
        <w:t>(kód, název)</w:t>
      </w:r>
      <w:r w:rsidRPr="00E37F96">
        <w:rPr>
          <w:rFonts w:ascii="Arial" w:hAnsi="Arial" w:eastAsia="Times New Roman" w:cs="Arial"/>
          <w:lang w:eastAsia="cs-CZ"/>
        </w:rPr>
        <w:t xml:space="preserve"> schválené na základě předložených zpráv o realizaci projektu do stejného data nedosáhne minimálně …, dochází k tomuto termínu k předčasnému ukončení realizace projektu. K tomuto stavu postačuje, že není překonána jedna z minimálních hranic uvedených výše v tomto bodu Podmínek.</w:t>
      </w:r>
      <w:r w:rsidRPr="00E37F96">
        <w:rPr>
          <w:rFonts w:ascii="Arial" w:hAnsi="Arial" w:eastAsia="Times New Roman" w:cs="Arial"/>
          <w:vertAlign w:val="superscript"/>
          <w:lang w:eastAsia="cs-CZ"/>
        </w:rPr>
        <w:footnoteReference w:id="18"/>
      </w:r>
      <w:r w:rsidRPr="00E37F96">
        <w:rPr>
          <w:rFonts w:ascii="Arial" w:hAnsi="Arial" w:eastAsia="Times New Roman" w:cs="Arial"/>
          <w:lang w:eastAsia="cs-CZ"/>
        </w:rPr>
        <w:t xml:space="preserve"> </w:t>
      </w:r>
    </w:p>
    <w:p w:rsidRPr="00E37F96" w:rsidR="00E37F96" w:rsidP="00E37F96" w:rsidRDefault="00E37F96" w14:paraId="73669919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Za účelem dokončení administrace projektu příjemce v termínu do 2 měsíců od předčasného ukončení realizace projektu předloží závěrečnou zprávu o realizaci projektu a závěrečnou žádost o platbu. </w:t>
      </w:r>
    </w:p>
    <w:p w:rsidRPr="00E37F96" w:rsidR="00E37F96" w:rsidP="00E37F96" w:rsidRDefault="00E37F96" w14:paraId="420C4752" w14:textId="77777777">
      <w:pPr>
        <w:numPr>
          <w:ilvl w:val="0"/>
          <w:numId w:val="6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Diferenciace odvodu za porušení rozpočtové kázně dle závažnosti porušení podmínek</w:t>
      </w:r>
    </w:p>
    <w:p w:rsidRPr="00E37F96" w:rsidR="00E37F96" w:rsidP="00E37F96" w:rsidRDefault="00E37F96" w14:paraId="6C18FCB6" w14:textId="77777777">
      <w:pPr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případě porušení podmínek týkajících se účelu a udržitelnosti (uvedených v části II bodě 2.1 a 4) bude vyměřen odvod za porušení rozpočtové kázně podle § 44a odst. 4 písm. b) rozpočtových pravidel.</w:t>
      </w:r>
    </w:p>
    <w:p w:rsidRPr="00E37F96" w:rsidR="00E37F96" w:rsidP="00E37F96" w:rsidRDefault="00E37F96" w14:paraId="15A3CFDA" w14:textId="77777777">
      <w:pPr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V případě porušení podmínek neuvedených v části V bodech 3.1, 3.3 až 3.7, anebo 4, u kterých lze vyčíslit výši porušení rozpočtové kázně (tj. porušení má jednoznačnou vazbu na způsobilé výdaje), bude vyměřen odvod podle § 44a odst. 4 písm. b) rozpočtových pravidel ve výši nezpůsobilých výdajů. </w:t>
      </w:r>
    </w:p>
    <w:p w:rsidRPr="00E37F96" w:rsidR="00E37F96" w:rsidP="00E37F96" w:rsidRDefault="00E37F96" w14:paraId="486989E1" w14:textId="77777777">
      <w:pPr>
        <w:spacing w:after="60" w:line="240" w:lineRule="auto"/>
        <w:ind w:left="567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Porušení povinností neuvedených v části V bodech 3.1, 3.3 až 3.7, anebo 4, u nichž není možné vyčíslit částku, v jaké byla porušena rozpočtová kázeň, povede podle § 44a odst. 4 písm. b) rozpočtových pravidel k odvodu za porušení rozpočtové kázně ve výši celkové dosud vynaložené podpory z OPZ.</w:t>
      </w:r>
    </w:p>
    <w:p w:rsidRPr="00E37F96" w:rsidR="00E37F96" w:rsidP="00E37F96" w:rsidRDefault="00E37F96" w14:paraId="13DB529C" w14:textId="77777777">
      <w:pPr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V případě, že </w:t>
      </w:r>
    </w:p>
    <w:p w:rsidRPr="00E37F96" w:rsidR="00E37F96" w:rsidP="001F4C33" w:rsidRDefault="00E37F96" w14:paraId="5FFCE44A" w14:textId="77777777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 porušení povinností předložit MPSV zprávu o realizaci projektu (včetně žádosti o platbu), předložit MPSV vyžádanou informaci (uvedených v části II bodě 5.2 a bodě 10, v části III v bodech 2.2 až 2.4) a prodlení bude trvat 7 kalendářních dní a  více, přičemž určující pro počátek běhu prodlení je termín vyplývající z těchto Podmínek (včetně Pravidel OPZ, na které tyto Podmínky odkazují) ve znění případného vyjádření MPSV o změně termínu, které je příjemci k dispozici v MS2014+ (netýká se situací, kdy příjemce nemohl z důvodu technických překážek na straně MS2014+ zprávu o realizaci projektu nebo žádost o platbu předložit; viz vymezení případů, které nezakládají porušení rozpočtové kázně v části V bodu 4 těchto Podmínek);</w:t>
      </w:r>
    </w:p>
    <w:p w:rsidRPr="00E37F96" w:rsidR="00E37F96" w:rsidP="001F4C33" w:rsidRDefault="00E37F96" w14:paraId="03CEDEE0" w14:textId="77777777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 porušení povinnosti předložit MPSV plán aktivit projektu vyžádaný podle Pravidel OPZ (netýká se situací, kdy příjemce nemohl z důvodu technických překážek na straně MS2014+ plán aktivit projektu předložit; viz vymezení případů, které nezakládají porušení rozpočtové kázně v části V bodu 4 těchto Podmínek);</w:t>
      </w:r>
    </w:p>
    <w:p w:rsidRPr="00E37F96" w:rsidR="00E37F96" w:rsidP="00E37F96" w:rsidRDefault="00E37F96" w14:paraId="3248F1BF" w14:textId="77777777">
      <w:pPr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povinností týkajících se vytvoření podmínek pro provedení kontroly (uvedených v části II bodě 8);</w:t>
      </w:r>
    </w:p>
    <w:p w:rsidRPr="00E37F96" w:rsidR="00E37F96" w:rsidP="00E37F96" w:rsidRDefault="00E37F96" w14:paraId="336EF2F8" w14:textId="77777777">
      <w:pPr>
        <w:numPr>
          <w:ilvl w:val="2"/>
          <w:numId w:val="1"/>
        </w:numPr>
        <w:tabs>
          <w:tab w:val="num" w:pos="851"/>
        </w:tabs>
        <w:spacing w:after="22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dojde k porušení povinností týkajících se oznamovací povinnosti (uvedených v části II bodě 11) a v Pravidlech OPZ není stanoveno, že příslušné pochybení nezakládá porušení rozpočtové kázně; </w:t>
      </w:r>
    </w:p>
    <w:p w:rsidRPr="00E37F96" w:rsidR="00E37F96" w:rsidP="00E37F96" w:rsidRDefault="00E37F96" w14:paraId="426BF1FB" w14:textId="77777777">
      <w:pPr>
        <w:numPr>
          <w:ilvl w:val="2"/>
          <w:numId w:val="1"/>
        </w:numPr>
        <w:tabs>
          <w:tab w:val="num" w:pos="851"/>
        </w:tabs>
        <w:spacing w:after="22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povinnosti týkající se práv duševního vlastnictví (uvedené v části II bodě 16);</w:t>
      </w:r>
    </w:p>
    <w:p w:rsidRPr="00E37F96" w:rsidR="00E37F96" w:rsidP="00E37F96" w:rsidRDefault="00E37F96" w14:paraId="422EF483" w14:textId="77777777">
      <w:pPr>
        <w:numPr>
          <w:ilvl w:val="2"/>
          <w:numId w:val="1"/>
        </w:numPr>
        <w:tabs>
          <w:tab w:val="num" w:pos="851"/>
        </w:tabs>
        <w:spacing w:after="22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povinností týkajících se partnerství (uvedených v části II bodech 17.1 až 17.3);</w:t>
      </w:r>
    </w:p>
    <w:p w:rsidRPr="00E37F96" w:rsidR="00E37F96" w:rsidP="00E37F96" w:rsidRDefault="00E37F96" w14:paraId="1E6726A0" w14:textId="77777777">
      <w:pPr>
        <w:numPr>
          <w:ilvl w:val="2"/>
          <w:numId w:val="1"/>
        </w:numPr>
        <w:tabs>
          <w:tab w:val="num" w:pos="851"/>
        </w:tabs>
        <w:spacing w:after="6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povinnosti uchovávat dokumenty (uvedené v části II bodě 14) a není možné stanovit výši podpory, ke které se dokument váže;</w:t>
      </w:r>
    </w:p>
    <w:p w:rsidRPr="00E37F96" w:rsidR="00E37F96" w:rsidP="00E37F96" w:rsidRDefault="00E37F96" w14:paraId="76418437" w14:textId="77777777">
      <w:pPr>
        <w:numPr>
          <w:ilvl w:val="2"/>
          <w:numId w:val="1"/>
        </w:numPr>
        <w:tabs>
          <w:tab w:val="num" w:pos="851"/>
        </w:tabs>
        <w:spacing w:after="60" w:line="240" w:lineRule="auto"/>
        <w:ind w:left="851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 porušení povinnosti předložit poskytovateli ve stanovené lhůtě evaluační plán (uvedené v části III bodě 4.1) nebo povinnosti předložit poskytovateli ve stanovené lhůtě evaluační zprávu a shrnutí sociální inovace (uvedené v části III bodě 4.2);</w:t>
      </w:r>
    </w:p>
    <w:p w:rsidRPr="00E37F96" w:rsidR="00E37F96" w:rsidP="00E37F96" w:rsidRDefault="00E37F96" w14:paraId="4A7A25BF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bude odvod za porušení rozpočtové kázně vyměřen dle § 44a odst. 4 písm. a) rozpočtových pravidel ve výši 0,5 % z celkové částky podpory.</w:t>
      </w:r>
    </w:p>
    <w:p w:rsidRPr="00E37F96" w:rsidR="00E37F96" w:rsidP="00E37F96" w:rsidRDefault="00E37F96" w14:paraId="4B06DC4A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sz w:val="6"/>
          <w:szCs w:val="6"/>
          <w:lang w:eastAsia="cs-CZ"/>
        </w:rPr>
      </w:pPr>
    </w:p>
    <w:p w:rsidRPr="00E37F96" w:rsidR="00E37F96" w:rsidP="00E37F96" w:rsidRDefault="00E37F96" w14:paraId="613DDCCC" w14:textId="77777777">
      <w:pPr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případě, že dojde k porušení povinností týkajících se zadávání zakázek (uvedených v části II bodě 6.1), jež je dle Pravidel OPZ považováno za porušení rozpočtové kázně, bude odvod za porušení rozpočtové kázně vyměřen dle § 44a odst. 4 písm. a) rozpočtových pravidel ve výši stanovené za porušení dané povinnosti v tabulce sankcí pro oblast zadávání obsažené v Obecné části pravidel pro žadatele a příjemce v rámci OPZ.</w:t>
      </w:r>
    </w:p>
    <w:p w:rsidRPr="00E37F96" w:rsidR="00E37F96" w:rsidP="00E37F96" w:rsidRDefault="00E37F96" w14:paraId="1D4C56C1" w14:textId="77777777">
      <w:pPr>
        <w:keepNext/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případě, že dojde k porušení povinností týkajících se provádění informačních a komunikačních opatření (uvedených v části II bodě 9), jež je dle Pravidel OPZ považováno za porušení rozpočtové kázně, bude odvod za porušení rozpočtové kázně vyměřen ve výši stanovené za porušení dané povinnosti v tabulce sankcí pro oblast publicity obsažené v Obecné části pravidel pro žadatele a příjemce v rámci OPZ.</w:t>
      </w:r>
    </w:p>
    <w:p w:rsidRPr="00E37F96" w:rsidR="00E37F96" w:rsidP="00E37F96" w:rsidRDefault="00E37F96" w14:paraId="14A8D905" w14:textId="77777777">
      <w:pPr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případě, že do data ukončení realizace projektu nebude dosažena celková cílová hodnota indikátorů výstupů uvedená v části III bodě 2.1, bude vyměřen následující odvod z  částky, ve které byla porušena rozpočtová kázeň (tj. z vyčerpané částky podpory).</w:t>
      </w:r>
    </w:p>
    <w:tbl>
      <w:tblPr>
        <w:tblW w:w="0" w:type="auto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92"/>
        <w:gridCol w:w="3933"/>
      </w:tblGrid>
      <w:tr w:rsidRPr="00E37F96" w:rsidR="00E37F96" w:rsidTr="00C5422F" w14:paraId="18DD6B2F" w14:textId="77777777">
        <w:tc>
          <w:tcPr>
            <w:tcW w:w="4536" w:type="dxa"/>
          </w:tcPr>
          <w:p w:rsidRPr="00E37F96" w:rsidR="00E37F96" w:rsidP="00E37F96" w:rsidRDefault="00E37F96" w14:paraId="2C9A636B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Celková míra naplnění indikátorů výstupů uvedených v Informaci o projektu v příloze č. 1</w:t>
            </w:r>
          </w:p>
        </w:tc>
        <w:tc>
          <w:tcPr>
            <w:tcW w:w="3969" w:type="dxa"/>
          </w:tcPr>
          <w:p w:rsidRPr="00E37F96" w:rsidR="00E37F96" w:rsidP="00E37F96" w:rsidRDefault="00E37F96" w14:paraId="39E4C81A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Procento odvodu z částky, ve které byla porušena rozpočtová kázeň</w:t>
            </w:r>
          </w:p>
        </w:tc>
      </w:tr>
      <w:tr w:rsidRPr="00E37F96" w:rsidR="00E37F96" w:rsidTr="00C5422F" w14:paraId="03DC9293" w14:textId="77777777">
        <w:tc>
          <w:tcPr>
            <w:tcW w:w="4536" w:type="dxa"/>
            <w:vAlign w:val="center"/>
          </w:tcPr>
          <w:p w:rsidRPr="00E37F96" w:rsidR="00E37F96" w:rsidP="00E37F96" w:rsidRDefault="00E37F96" w14:paraId="0165A678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méně než 85 % až 70 %</w:t>
            </w:r>
          </w:p>
        </w:tc>
        <w:tc>
          <w:tcPr>
            <w:tcW w:w="3969" w:type="dxa"/>
          </w:tcPr>
          <w:p w:rsidRPr="00E37F96" w:rsidR="00E37F96" w:rsidP="00E37F96" w:rsidRDefault="00E37F96" w14:paraId="33B00C81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15 %</w:t>
            </w:r>
          </w:p>
        </w:tc>
      </w:tr>
      <w:tr w:rsidRPr="00E37F96" w:rsidR="00E37F96" w:rsidTr="00C5422F" w14:paraId="71B9F495" w14:textId="77777777">
        <w:tc>
          <w:tcPr>
            <w:tcW w:w="4536" w:type="dxa"/>
            <w:vAlign w:val="center"/>
          </w:tcPr>
          <w:p w:rsidRPr="00E37F96" w:rsidR="00E37F96" w:rsidP="00E37F96" w:rsidRDefault="00E37F96" w14:paraId="3FEFCAFC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méně než 70 % až 55 %</w:t>
            </w:r>
          </w:p>
        </w:tc>
        <w:tc>
          <w:tcPr>
            <w:tcW w:w="3969" w:type="dxa"/>
          </w:tcPr>
          <w:p w:rsidRPr="00E37F96" w:rsidR="00E37F96" w:rsidP="00E37F96" w:rsidRDefault="00E37F96" w14:paraId="6D4B02DE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20 %</w:t>
            </w:r>
          </w:p>
        </w:tc>
      </w:tr>
      <w:tr w:rsidRPr="00E37F96" w:rsidR="00E37F96" w:rsidTr="00C5422F" w14:paraId="3C504DBB" w14:textId="77777777">
        <w:tc>
          <w:tcPr>
            <w:tcW w:w="4536" w:type="dxa"/>
            <w:vAlign w:val="center"/>
          </w:tcPr>
          <w:p w:rsidRPr="00E37F96" w:rsidR="00E37F96" w:rsidP="00E37F96" w:rsidRDefault="00E37F96" w14:paraId="05E8F4BD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méně než 55 % až 40 %</w:t>
            </w:r>
          </w:p>
        </w:tc>
        <w:tc>
          <w:tcPr>
            <w:tcW w:w="3969" w:type="dxa"/>
          </w:tcPr>
          <w:p w:rsidRPr="00E37F96" w:rsidR="00E37F96" w:rsidP="00E37F96" w:rsidRDefault="00E37F96" w14:paraId="5501ACD5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30 %</w:t>
            </w:r>
          </w:p>
        </w:tc>
      </w:tr>
      <w:tr w:rsidRPr="00E37F96" w:rsidR="00E37F96" w:rsidTr="00C5422F" w14:paraId="3EA2938E" w14:textId="77777777">
        <w:tc>
          <w:tcPr>
            <w:tcW w:w="4536" w:type="dxa"/>
            <w:vAlign w:val="center"/>
          </w:tcPr>
          <w:p w:rsidRPr="00E37F96" w:rsidR="00E37F96" w:rsidP="00E37F96" w:rsidRDefault="00E37F96" w14:paraId="6FC2DD6A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méně než 40 %</w:t>
            </w:r>
          </w:p>
        </w:tc>
        <w:tc>
          <w:tcPr>
            <w:tcW w:w="3969" w:type="dxa"/>
          </w:tcPr>
          <w:p w:rsidRPr="00E37F96" w:rsidR="00E37F96" w:rsidP="00E37F96" w:rsidRDefault="00E37F96" w14:paraId="21B52D96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50 %</w:t>
            </w:r>
          </w:p>
        </w:tc>
      </w:tr>
    </w:tbl>
    <w:p w:rsidRPr="00E37F96" w:rsidR="00E37F96" w:rsidP="00E37F96" w:rsidRDefault="00E37F96" w14:paraId="7E039409" w14:textId="77777777">
      <w:pPr>
        <w:widowControl w:val="false"/>
        <w:overflowPunct w:val="false"/>
        <w:autoSpaceDE w:val="false"/>
        <w:autoSpaceDN w:val="false"/>
        <w:adjustRightInd w:val="false"/>
        <w:spacing w:before="60"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V případě, že k okamžiku schválení závěrečné zprávy o realizaci platná Pravidla OPZ stanoví pro příjemce příznivěji jednotlivá rozmezí celkové míry naplnění indikátorů výstupů či s tímto spojené procento odvodu mírněji než tyto Podmínky, uplatní se při vyměření odvodu tato úprava v Pravidlech OPZ. </w:t>
      </w:r>
    </w:p>
    <w:p w:rsidRPr="00E37F96" w:rsidR="00E37F96" w:rsidP="00E37F96" w:rsidRDefault="00E37F96" w14:paraId="6A531B39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sz w:val="6"/>
          <w:szCs w:val="6"/>
          <w:lang w:eastAsia="cs-CZ"/>
        </w:rPr>
      </w:pPr>
    </w:p>
    <w:p w:rsidRPr="00E37F96" w:rsidR="00E37F96" w:rsidP="00E37F96" w:rsidRDefault="00E37F96" w14:paraId="11484096" w14:textId="77777777">
      <w:pPr>
        <w:numPr>
          <w:ilvl w:val="1"/>
          <w:numId w:val="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případě, že do data ukončení realizace projektu nebude splněna celková cílová hodnota indikátorů výsledků uvedená v části III bodě 2.1, bude vyměřen následující odvod z částky, ve které byla porušena rozpočtová kázeň (tj. z vyčerpané částky podpory).</w:t>
      </w:r>
    </w:p>
    <w:tbl>
      <w:tblPr>
        <w:tblW w:w="0" w:type="auto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92"/>
        <w:gridCol w:w="3933"/>
      </w:tblGrid>
      <w:tr w:rsidRPr="00E37F96" w:rsidR="00E37F96" w:rsidTr="00C5422F" w14:paraId="5F1E209D" w14:textId="77777777">
        <w:tc>
          <w:tcPr>
            <w:tcW w:w="4536" w:type="dxa"/>
          </w:tcPr>
          <w:p w:rsidRPr="00E37F96" w:rsidR="00E37F96" w:rsidP="00E37F96" w:rsidRDefault="00E37F96" w14:paraId="1BE27D08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Celková míra naplnění indikátorů výsledků uvedených v Informaci o projektu v příloze č. 1</w:t>
            </w:r>
          </w:p>
        </w:tc>
        <w:tc>
          <w:tcPr>
            <w:tcW w:w="3969" w:type="dxa"/>
          </w:tcPr>
          <w:p w:rsidRPr="00E37F96" w:rsidR="00E37F96" w:rsidP="00E37F96" w:rsidRDefault="00E37F96" w14:paraId="5AE35AC5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Procento odvodu z částky, ve které byla porušena rozpočtová kázeň</w:t>
            </w:r>
          </w:p>
        </w:tc>
      </w:tr>
      <w:tr w:rsidRPr="00E37F96" w:rsidR="00E37F96" w:rsidTr="00C5422F" w14:paraId="05986BCC" w14:textId="77777777">
        <w:tc>
          <w:tcPr>
            <w:tcW w:w="4536" w:type="dxa"/>
          </w:tcPr>
          <w:p w:rsidRPr="00E37F96" w:rsidR="00E37F96" w:rsidP="00E37F96" w:rsidRDefault="00E37F96" w14:paraId="21D61A34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méně než 75 % až 50 %</w:t>
            </w:r>
          </w:p>
        </w:tc>
        <w:tc>
          <w:tcPr>
            <w:tcW w:w="3969" w:type="dxa"/>
          </w:tcPr>
          <w:p w:rsidRPr="00E37F96" w:rsidR="00E37F96" w:rsidP="00E37F96" w:rsidRDefault="00E37F96" w14:paraId="2DB7F756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10 %</w:t>
            </w:r>
          </w:p>
        </w:tc>
      </w:tr>
      <w:tr w:rsidRPr="00E37F96" w:rsidR="00E37F96" w:rsidTr="00C5422F" w14:paraId="68639AC1" w14:textId="77777777">
        <w:tc>
          <w:tcPr>
            <w:tcW w:w="4536" w:type="dxa"/>
          </w:tcPr>
          <w:p w:rsidRPr="00E37F96" w:rsidR="00E37F96" w:rsidP="00E37F96" w:rsidRDefault="00E37F96" w14:paraId="436C2483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 xml:space="preserve">méně než 50 % </w:t>
            </w:r>
          </w:p>
        </w:tc>
        <w:tc>
          <w:tcPr>
            <w:tcW w:w="3969" w:type="dxa"/>
          </w:tcPr>
          <w:p w:rsidRPr="00E37F96" w:rsidR="00E37F96" w:rsidP="00E37F96" w:rsidRDefault="00E37F96" w14:paraId="26C1804C" w14:textId="77777777">
            <w:pPr>
              <w:spacing w:after="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E37F96">
              <w:rPr>
                <w:rFonts w:ascii="Arial" w:hAnsi="Arial" w:eastAsia="Arial" w:cs="Times New Roman"/>
                <w:sz w:val="20"/>
              </w:rPr>
              <w:t>20 %</w:t>
            </w:r>
          </w:p>
        </w:tc>
      </w:tr>
    </w:tbl>
    <w:p w:rsidRPr="00E37F96" w:rsidR="00E37F96" w:rsidP="00E37F96" w:rsidRDefault="00E37F96" w14:paraId="5034D254" w14:textId="77777777">
      <w:pPr>
        <w:overflowPunct w:val="false"/>
        <w:autoSpaceDE w:val="false"/>
        <w:autoSpaceDN w:val="false"/>
        <w:adjustRightInd w:val="false"/>
        <w:spacing w:before="60"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 případě, že k okamžiku schválení závěrečné zprávy o realizaci platná Pravidla OPZ stanoví pro příjemce příznivěji jednotlivá rozmezí celkové míry naplnění indikátorů výsledků či s tímto spojené procento odvodu mírněji než tyto Podmínky, uplatní se při vyměření odvodu tato úprava v Pravidlech OPZ.</w:t>
      </w:r>
    </w:p>
    <w:p w:rsidRPr="00E37F96" w:rsidR="00E37F96" w:rsidP="00E37F96" w:rsidRDefault="00E37F96" w14:paraId="1575AFCB" w14:textId="77777777">
      <w:pPr>
        <w:numPr>
          <w:ilvl w:val="1"/>
          <w:numId w:val="6"/>
        </w:numPr>
        <w:overflowPunct w:val="false"/>
        <w:autoSpaceDE w:val="false"/>
        <w:autoSpaceDN w:val="false"/>
        <w:adjustRightInd w:val="false"/>
        <w:spacing w:before="60" w:after="60" w:line="240" w:lineRule="auto"/>
        <w:ind w:left="567" w:hanging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>V případě, že dojde k porušení povinnosti provádět příslušnou aktivitu projektu v souladu s předloženým plánem aktivit projektu, jež je dle Pravidel OPZ považováno za porušení rozpočtové kázně, bude odvod za porušení rozpočtové kázně vyměřen dle § 44a odst. 4 písm. a) rozpočtových pravidel ve výši stanovené za porušení této povinnosti v Obecné části pravidel pro žadatele a příjemce v rámci OPZ.</w:t>
      </w:r>
    </w:p>
    <w:p w:rsidRPr="00E37F96" w:rsidR="00E37F96" w:rsidP="00E37F96" w:rsidRDefault="00E37F96" w14:paraId="5EE5B8F7" w14:textId="77777777">
      <w:pPr>
        <w:numPr>
          <w:ilvl w:val="0"/>
          <w:numId w:val="6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Porušení povinností, jež není porušením rozpočtové kázně</w:t>
      </w:r>
    </w:p>
    <w:p w:rsidRPr="00E37F96" w:rsidR="00E37F96" w:rsidP="00E37F96" w:rsidRDefault="00E37F96" w14:paraId="2DF5BABE" w14:textId="77777777">
      <w:p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V případě, že </w:t>
      </w:r>
    </w:p>
    <w:p w:rsidRPr="00E37F96" w:rsidR="00E37F96" w:rsidP="00E37F96" w:rsidRDefault="00E37F96" w14:paraId="4709CACA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dojde k porušení povinností předložit MPSV zprávu o realizaci projektu (včetně žádosti o platbu), předložit MPSV vyžádanou informaci (uvedených v části II bodě 5.2 a bodě 10, v části III v bodech 2.2 až </w:t>
      </w:r>
      <w:r w:rsidRPr="00E37F96">
        <w:rPr>
          <w:rFonts w:ascii="Arial" w:hAnsi="Arial" w:eastAsia="Arial" w:cs="Times New Roman"/>
          <w:shd w:val="clear" w:color="auto" w:fill="DCDCDC"/>
        </w:rPr>
        <w:t>2.4</w:t>
      </w:r>
      <w:r w:rsidRPr="00E37F96">
        <w:rPr>
          <w:rFonts w:ascii="Arial" w:hAnsi="Arial" w:eastAsia="Arial" w:cs="Times New Roman"/>
        </w:rPr>
        <w:t>) a prodlení bude trvat méně než 7 kalendářních dní, přičemž určující pro počátek běhu prodlení je termín vyplývající z těchto Podmínek ve znění případného vyjádření MPSV o změně termínu, které je příjemci k dispozici v MS2014+;</w:t>
      </w:r>
    </w:p>
    <w:p w:rsidRPr="00E37F96" w:rsidR="00E37F96" w:rsidP="00E37F96" w:rsidRDefault="00E37F96" w14:paraId="5DB570F6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 porušení povinností předložit MPSV zprávu o realizaci projektu, včetně žádosti o platbu (uvedených v části III v bodech 2.2 až 2.4) nebo povinnosti předložit poskytovateli plán aktivit projektu vyžádaný podle Pravidel OPZ a prodlení je způsobeno tím, že příjemce nemohl z důvodu technických překážek na straně MS2014+ zprávu o realizaci projektu, žádost o platbu nebo plán aktivit projektu předložit;</w:t>
      </w:r>
    </w:p>
    <w:p w:rsidRPr="00E37F96" w:rsidR="00E37F96" w:rsidP="00E37F96" w:rsidRDefault="00E37F96" w14:paraId="14BB7572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povinností týkajících se zadávání zakázek (uvedených v části II bodě 6.1), jež dle Pravidel OPZ není považováno za porušení rozpočtové kázně, nebo dojde k porušení povinností uvedených v části II bodě 6.2;</w:t>
      </w:r>
    </w:p>
    <w:p w:rsidRPr="00E37F96" w:rsidR="00E37F96" w:rsidP="00E37F96" w:rsidRDefault="00E37F96" w14:paraId="7695555A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 porušení povinností týkajících se provádění informačních a komunikačních opatření (uvedených v části II bodě 9), jež dle Pravidel OPZ není považováno za porušení rozpočtové kázně;</w:t>
      </w:r>
    </w:p>
    <w:p w:rsidRPr="00E37F96" w:rsidR="00E37F96" w:rsidP="00E37F96" w:rsidRDefault="00E37F96" w14:paraId="59F84DB6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dojde k porušení povinnosti týkající se oznamování (uvedené v části II bodě 11), včetně oznamování nepodstatných změn a v Pravidlech OPZ je pro dané pochybení stanoveno, že nezakládá porušení rozpočtové kázně; </w:t>
      </w:r>
    </w:p>
    <w:p w:rsidRPr="00E37F96" w:rsidR="00E37F96" w:rsidP="00E37F96" w:rsidRDefault="00E37F96" w14:paraId="25CA2E3D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povinnosti týkající se vypořádání projektu v souladu s rozpočtovými pravidly a aktuálně platnou vyhláškou upravující zásady a lhůty finančního vypořádání vztahů se státním rozpočtem</w:t>
      </w:r>
      <w:r w:rsidRPr="00E37F96" w:rsidDel="00994D92">
        <w:rPr>
          <w:rFonts w:ascii="Arial" w:hAnsi="Arial" w:eastAsia="Arial" w:cs="Times New Roman"/>
        </w:rPr>
        <w:t xml:space="preserve"> </w:t>
      </w:r>
      <w:r w:rsidRPr="00E37F96">
        <w:rPr>
          <w:rFonts w:ascii="Arial" w:hAnsi="Arial" w:eastAsia="Arial" w:cs="Times New Roman"/>
        </w:rPr>
        <w:t>(uvedených v části II bodě 13);</w:t>
      </w:r>
    </w:p>
    <w:p w:rsidRPr="00E37F96" w:rsidR="00E37F96" w:rsidP="00E37F96" w:rsidRDefault="00E37F96" w14:paraId="585C9BF2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bude splněna cílová hodnota indikátorů výstupů uvedených v Informaci o projektu v příloze č. 1 těchto Podmínek z 85 % nebo více, </w:t>
      </w:r>
    </w:p>
    <w:p w:rsidRPr="00E37F96" w:rsidR="00E37F96" w:rsidP="00E37F96" w:rsidRDefault="00E37F96" w14:paraId="73D77F2F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 xml:space="preserve">bude splněna cílová hodnota indikátorů výsledků uvedených v Informaci o projektu v příloze č. 1 těchto Podmínek ze 75 % nebo více, </w:t>
      </w:r>
    </w:p>
    <w:p w:rsidRPr="00E37F96" w:rsidR="00E37F96" w:rsidP="00E37F96" w:rsidRDefault="00E37F96" w14:paraId="2D3719F9" w14:textId="77777777">
      <w:pPr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nedodržení finančního plánu projektu obsaženého v příloze č. 1 těchto Podmínek, příp. upraveného v režimu nepodstatných změn projektu,</w:t>
      </w:r>
    </w:p>
    <w:p w:rsidRPr="00E37F96" w:rsidR="00E37F96" w:rsidP="00E37F96" w:rsidRDefault="00E37F96" w14:paraId="35EC2E83" w14:textId="77777777">
      <w:pPr>
        <w:keepNext/>
        <w:numPr>
          <w:ilvl w:val="2"/>
          <w:numId w:val="11"/>
        </w:numPr>
        <w:tabs>
          <w:tab w:val="left" w:pos="709"/>
        </w:tabs>
        <w:spacing w:after="60" w:line="240" w:lineRule="auto"/>
        <w:ind w:left="709" w:hanging="284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 porušení povinností dle části VI těchto Podmínek,</w:t>
      </w:r>
    </w:p>
    <w:p w:rsidRPr="00E37F96" w:rsidR="00E37F96" w:rsidP="00E37F96" w:rsidRDefault="00E37F96" w14:paraId="40C13540" w14:textId="77777777">
      <w:pPr>
        <w:keepNext/>
        <w:numPr>
          <w:ilvl w:val="2"/>
          <w:numId w:val="1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dojde k porušení povinnosti aktualizovat v IS KP14+ údaje o zakázkách a kontrolách/auditech týkajících se projektu,</w:t>
      </w:r>
    </w:p>
    <w:p w:rsidRPr="00E37F96" w:rsidR="00E37F96" w:rsidP="00E37F96" w:rsidRDefault="00E37F96" w14:paraId="4F24B409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E37F96">
        <w:rPr>
          <w:rFonts w:ascii="Arial" w:hAnsi="Arial" w:eastAsia="Arial" w:cs="Times New Roman"/>
        </w:rPr>
        <w:t>nejedná se o porušení rozpočtové kázně ve smyslu rozpočtových pravidel.</w:t>
      </w:r>
    </w:p>
    <w:p w:rsidRPr="00E37F96" w:rsidR="00E37F96" w:rsidP="00E37F96" w:rsidRDefault="00E37F96" w14:paraId="4E1BAAAA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E37F96" w:rsidR="00E37F96" w:rsidP="00E37F96" w:rsidRDefault="00E37F96" w14:paraId="166F1D18" w14:textId="77777777">
      <w:pPr>
        <w:keepNext/>
        <w:shd w:val="clear" w:color="auto" w:fill="F2F2F2"/>
        <w:spacing w:after="220" w:line="240" w:lineRule="auto"/>
        <w:jc w:val="both"/>
        <w:rPr>
          <w:rFonts w:ascii="Arial" w:hAnsi="Arial" w:eastAsia="Calibri" w:cs="Arial"/>
          <w:b/>
        </w:rPr>
      </w:pPr>
      <w:r w:rsidRPr="00E37F96">
        <w:rPr>
          <w:rFonts w:ascii="Arial" w:hAnsi="Arial" w:eastAsia="Calibri" w:cs="Arial"/>
          <w:b/>
        </w:rPr>
        <w:t xml:space="preserve">Část VI – Pověření ke zpracování osobních údajů </w:t>
      </w:r>
    </w:p>
    <w:p w:rsidRPr="00E37F96" w:rsidR="00E37F96" w:rsidP="00E37F96" w:rsidRDefault="00E37F96" w14:paraId="3FBBD352" w14:textId="77777777">
      <w:pPr>
        <w:keepNext/>
        <w:numPr>
          <w:ilvl w:val="0"/>
          <w:numId w:val="13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 xml:space="preserve">Pověření a účel zpracování osobních údajů </w:t>
      </w:r>
    </w:p>
    <w:p w:rsidRPr="00E37F96" w:rsidR="00E37F96" w:rsidP="00E37F96" w:rsidRDefault="00E37F96" w14:paraId="23A6D412" w14:textId="77777777">
      <w:pPr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  <w:lang w:eastAsia="cs-CZ"/>
        </w:rPr>
      </w:pPr>
      <w:r w:rsidRPr="00E37F96">
        <w:rPr>
          <w:rFonts w:ascii="Arial" w:hAnsi="Arial" w:eastAsia="Calibri" w:cs="Arial"/>
          <w:lang w:eastAsia="cs-CZ"/>
        </w:rPr>
        <w:t>MPSV je jakožto správce podle čl. 6 odst. 1 písm. c) a podle čl. 9 odst. 2 písm. g) nařízení Evropského parlamentu a Rady (EU) 2016/679 ze dne 27. dubna 2016, o ochraně fyzických osob v souvislosti se zpracováním osobních údajů a o volném pohybu těchto údajů a o zrušení směrnice 95/46/ES (dále jen „Obecné nařízení o ochraně osobních údajů“), oprávněno zpracovávat osobní údaje podpořených osob (včetně zvláštních kategorií osobních údajů) na základě nařízení Evropského parlamentu a Rady (EU) č. 1304/2013 ze dne 17. prosince 2013 o Evropském sociálním fondu a o zrušení nařízení Rady (ES) č. 1081/2006, zejména jeho přílohy I.</w:t>
      </w:r>
    </w:p>
    <w:p w:rsidRPr="00E37F96" w:rsidR="00E37F96" w:rsidP="00E37F96" w:rsidRDefault="00E37F96" w14:paraId="522283DD" w14:textId="77777777">
      <w:pPr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  <w:lang w:eastAsia="cs-CZ"/>
        </w:rPr>
      </w:pPr>
      <w:r w:rsidRPr="00E37F96">
        <w:rPr>
          <w:rFonts w:ascii="Arial" w:hAnsi="Arial" w:eastAsia="Calibri" w:cs="Arial"/>
          <w:lang w:eastAsia="cs-CZ"/>
        </w:rPr>
        <w:t>MPSV pověřuje příjemce, jakožto zpracovatele, ke zpracování osobních údajů, včetně zvláštní kategorie osobních údajů (dále jen „osobní údaje“), osob podpořených v projektu za účelem prokázání řádného a efektivního nakládání s prostředky Evropského sociálního fondu, které byly na realizaci projektu poskytnuty z OPZ těmito Podmínkami, a to v rozsahu uvedeném v bodě 2 části VI těchto Podmínek.</w:t>
      </w:r>
    </w:p>
    <w:p w:rsidRPr="00E37F96" w:rsidR="00E37F96" w:rsidP="00E37F96" w:rsidRDefault="00E37F96" w14:paraId="1129A083" w14:textId="77777777">
      <w:pPr>
        <w:keepNext/>
        <w:numPr>
          <w:ilvl w:val="0"/>
          <w:numId w:val="13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Rozsah zpracování osobních údajů na základě pověření a jejich ochrana</w:t>
      </w:r>
    </w:p>
    <w:p w:rsidRPr="00E37F96" w:rsidR="00E37F96" w:rsidP="00E37F96" w:rsidRDefault="00E37F96" w14:paraId="04FF724C" w14:textId="77777777">
      <w:pPr>
        <w:keepNext/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>Příjemce je oprávněn zpracovávat osobní údaje podpořené osoby v rozsahu vymezeném v Obecné části pravidel pro žadatele a příjemce v rámci OPZ.</w:t>
      </w:r>
    </w:p>
    <w:p w:rsidRPr="00E37F96" w:rsidR="00E37F96" w:rsidP="00E37F96" w:rsidRDefault="00E37F96" w14:paraId="56D083A2" w14:textId="77777777">
      <w:pPr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>Osobní údaje je příjemce oprávněn zpracovávat výhradně v souvislosti s realizací projektu, zejména pak při přípravě zpráv o realizaci projektu.</w:t>
      </w:r>
    </w:p>
    <w:p w:rsidRPr="00E37F96" w:rsidR="00E37F96" w:rsidP="00E37F96" w:rsidRDefault="00E37F96" w14:paraId="1856B645" w14:textId="77777777">
      <w:pPr>
        <w:numPr>
          <w:ilvl w:val="0"/>
          <w:numId w:val="13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Technické a organizační zabezpečení ochrany osobních údajů</w:t>
      </w:r>
    </w:p>
    <w:p w:rsidRPr="00E37F96" w:rsidR="00E37F96" w:rsidP="00E37F96" w:rsidRDefault="00E37F96" w14:paraId="519B356E" w14:textId="77777777">
      <w:pPr>
        <w:spacing w:after="6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Příjemce je povinen zpracovávat a chránit osobní údaje v souladu s </w:t>
      </w:r>
      <w:r w:rsidRPr="00E37F96">
        <w:rPr>
          <w:rFonts w:ascii="Arial" w:hAnsi="Arial" w:eastAsia="Arial" w:cs="Times New Roman"/>
        </w:rPr>
        <w:t xml:space="preserve">Obecným nařízením </w:t>
      </w:r>
      <w:r w:rsidRPr="00E37F96">
        <w:rPr>
          <w:rFonts w:ascii="Arial" w:hAnsi="Arial" w:eastAsia="Calibri" w:cs="Arial"/>
        </w:rPr>
        <w:t>o ochraně osobních údajů, a to zejména takto:</w:t>
      </w:r>
    </w:p>
    <w:p w:rsidRPr="00E37F96" w:rsidR="00E37F96" w:rsidP="00E37F96" w:rsidRDefault="00E37F96" w14:paraId="4A5D97EC" w14:textId="77777777">
      <w:pPr>
        <w:numPr>
          <w:ilvl w:val="0"/>
          <w:numId w:val="14"/>
        </w:numPr>
        <w:spacing w:after="220" w:line="240" w:lineRule="auto"/>
        <w:contextualSpacing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osobní údaje ve fyzické podobě, tj. listinné údaje či na nosičích dat, budou uchovávány v uzamykatelných schránkách, a to po dobu uvedenou v bodě 4 této části těchto Podmínek; </w:t>
      </w:r>
    </w:p>
    <w:p w:rsidRPr="00E37F96" w:rsidR="00E37F96" w:rsidP="00E37F96" w:rsidRDefault="00E37F96" w14:paraId="039A2635" w14:textId="77777777">
      <w:pPr>
        <w:numPr>
          <w:ilvl w:val="0"/>
          <w:numId w:val="14"/>
        </w:numPr>
        <w:spacing w:after="220" w:line="240" w:lineRule="auto"/>
        <w:contextualSpacing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>osobní údaje v elektronické podobě budou zpracovávány v IS ESF 2014+, jehož správcem je MPSV; MPSV příjemci za účelem vložení osobních údajů zajistí přístupová hesla do IS ESF 2014+;</w:t>
      </w:r>
    </w:p>
    <w:p w:rsidRPr="00E37F96" w:rsidR="00E37F96" w:rsidP="00E37F96" w:rsidRDefault="00E37F96" w14:paraId="4BB88131" w14:textId="77777777">
      <w:pPr>
        <w:numPr>
          <w:ilvl w:val="0"/>
          <w:numId w:val="14"/>
        </w:numPr>
        <w:spacing w:after="220" w:line="240" w:lineRule="auto"/>
        <w:contextualSpacing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přístup ke zpracovávaným osobním údajům umožní příjemce pouze MPSV, svým zaměstnancům a orgánům oprávněným provádět kontrolu podle části II bodu 8 těchto Podmínek, </w:t>
      </w:r>
      <w:r w:rsidRPr="00E37F96">
        <w:rPr>
          <w:rFonts w:ascii="Arial" w:hAnsi="Arial" w:eastAsia="Arial" w:cs="Times New Roman"/>
        </w:rPr>
        <w:t>s výjimkami uvedenými v bodu 6 této části Podmínek</w:t>
      </w:r>
      <w:r w:rsidRPr="00E37F96">
        <w:rPr>
          <w:rFonts w:ascii="Arial" w:hAnsi="Arial" w:eastAsia="Calibri" w:cs="Arial"/>
        </w:rPr>
        <w:t>;</w:t>
      </w:r>
    </w:p>
    <w:p w:rsidRPr="00E37F96" w:rsidR="00E37F96" w:rsidP="00E37F96" w:rsidRDefault="00E37F96" w14:paraId="004108A6" w14:textId="77777777">
      <w:pPr>
        <w:numPr>
          <w:ilvl w:val="0"/>
          <w:numId w:val="14"/>
        </w:numPr>
        <w:spacing w:after="220" w:line="240" w:lineRule="auto"/>
        <w:contextualSpacing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zaměstnanci příjemce, kterým bude umožněn přístup ke zpracovávaným osobním údajům, budou příjemcem doložitelně poučeni o povinnosti zachovávat mlčenlivost podle </w:t>
      </w:r>
      <w:r w:rsidRPr="00E37F96">
        <w:rPr>
          <w:rFonts w:ascii="Arial" w:hAnsi="Arial" w:eastAsia="Arial" w:cs="Arial"/>
        </w:rPr>
        <w:t>čl. 28 odst. 3 písm. b) Obecného nařízení o ochraně osobních údajů</w:t>
      </w:r>
      <w:r w:rsidRPr="00E37F96">
        <w:rPr>
          <w:rFonts w:ascii="Arial" w:hAnsi="Arial" w:eastAsia="Calibri" w:cs="Arial"/>
        </w:rPr>
        <w:t>.</w:t>
      </w:r>
    </w:p>
    <w:p w:rsidRPr="00E37F96" w:rsidR="00E37F96" w:rsidP="00E37F96" w:rsidRDefault="00E37F96" w14:paraId="59F58598" w14:textId="77777777">
      <w:pPr>
        <w:keepNext/>
        <w:numPr>
          <w:ilvl w:val="0"/>
          <w:numId w:val="13"/>
        </w:numPr>
        <w:spacing w:before="36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Doba zpracování</w:t>
      </w:r>
    </w:p>
    <w:p w:rsidRPr="00E37F96" w:rsidR="00E37F96" w:rsidP="00E37F96" w:rsidRDefault="00E37F96" w14:paraId="3B130863" w14:textId="77777777">
      <w:pPr>
        <w:keepNext/>
        <w:spacing w:after="22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Příjemce je oprávněn zpracovávat osobní údaje po dobu deseti let od ukončení realizace projektu, </w:t>
      </w:r>
      <w:r w:rsidRPr="00E37F96">
        <w:rPr>
          <w:rFonts w:ascii="Arial" w:hAnsi="Arial" w:eastAsia="Arial" w:cs="Times New Roman"/>
        </w:rPr>
        <w:t>přičemž tato lhůta začíná běžet 1. ledna následujícího kalendářního roku poté, co byla realizace projektu ukončena</w:t>
      </w:r>
      <w:r w:rsidRPr="00E37F96">
        <w:rPr>
          <w:rFonts w:ascii="Arial" w:hAnsi="Arial" w:eastAsia="Calibri" w:cs="Arial"/>
        </w:rPr>
        <w:t>. Bez zbytečného odkladu po uplynutí této doby je příjemce povinen provést likvidaci těchto osobních údajů.</w:t>
      </w:r>
    </w:p>
    <w:p w:rsidRPr="00E37F96" w:rsidR="00E37F96" w:rsidP="00E37F96" w:rsidRDefault="00E37F96" w14:paraId="6435A2F7" w14:textId="77777777">
      <w:pPr>
        <w:numPr>
          <w:ilvl w:val="0"/>
          <w:numId w:val="13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>
        <w:rPr>
          <w:rFonts w:ascii="Arial" w:hAnsi="Arial" w:eastAsia="Times New Roman" w:cs="Arial"/>
          <w:b/>
          <w:bCs/>
          <w:lang w:eastAsia="cs-CZ"/>
        </w:rPr>
        <w:t>D</w:t>
      </w:r>
      <w:r w:rsidRPr="00E37F96">
        <w:rPr>
          <w:rFonts w:ascii="Arial" w:hAnsi="Arial" w:eastAsia="Times New Roman" w:cs="Arial"/>
          <w:b/>
          <w:bCs/>
          <w:lang w:eastAsia="cs-CZ"/>
        </w:rPr>
        <w:t>alší povinnosti příjemce v souvislosti se zpracováním osobních údajů</w:t>
      </w:r>
    </w:p>
    <w:p w:rsidRPr="00E37F96" w:rsidR="00E37F96" w:rsidP="00E37F96" w:rsidRDefault="00E37F96" w14:paraId="78B9D83C" w14:textId="77777777">
      <w:pPr>
        <w:keepNext/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Příjemce je povinen MPSV v souladu s čl. 33 odst. 2 Obecného nařízení o ochraně osobních údajů informovat o jakémkoli porušení zabezpečení osobních údajů, a to do 24 hodin od okamžiku, kdy se o něm dozvěděl. </w:t>
      </w:r>
    </w:p>
    <w:p w:rsidRPr="00E37F96" w:rsidR="00E37F96" w:rsidP="00E37F96" w:rsidRDefault="00E37F96" w14:paraId="0CA97554" w14:textId="77777777">
      <w:pPr>
        <w:keepNext/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>Příjemce je povinen na základě vyžádání předat poskytovateli veškeré informace potřebné k doložení splnění povinností stanovených v </w:t>
      </w:r>
      <w:r w:rsidRPr="00E37F96">
        <w:rPr>
          <w:rFonts w:ascii="Arial" w:hAnsi="Arial" w:eastAsia="Arial" w:cs="Times New Roman"/>
        </w:rPr>
        <w:t>této části Podmínek</w:t>
      </w:r>
      <w:r w:rsidRPr="00E37F96">
        <w:rPr>
          <w:rFonts w:ascii="Arial" w:hAnsi="Arial" w:eastAsia="Calibri" w:cs="Arial"/>
        </w:rPr>
        <w:t>.</w:t>
      </w:r>
    </w:p>
    <w:p w:rsidRPr="00E37F96" w:rsidR="00E37F96" w:rsidP="00E37F96" w:rsidRDefault="00E37F96" w14:paraId="5C06D0FC" w14:textId="77777777">
      <w:pPr>
        <w:keepNext/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>Příjemce je povinen spolupracovat s MPSV při plnění jeho povinnosti reagovat na žádosti podpořených osob týkající se jejich osobních údajů.</w:t>
      </w:r>
    </w:p>
    <w:p w:rsidRPr="00E37F96" w:rsidR="00E37F96" w:rsidP="00E37F96" w:rsidRDefault="00E37F96" w14:paraId="0C8C399A" w14:textId="77777777">
      <w:pPr>
        <w:numPr>
          <w:ilvl w:val="0"/>
          <w:numId w:val="13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E37F96">
        <w:rPr>
          <w:rFonts w:ascii="Arial" w:hAnsi="Arial" w:eastAsia="Times New Roman" w:cs="Arial"/>
          <w:b/>
          <w:bCs/>
          <w:lang w:eastAsia="cs-CZ"/>
        </w:rPr>
        <w:t>Zpracování ostatními osobami</w:t>
      </w:r>
    </w:p>
    <w:p w:rsidRPr="00E37F96" w:rsidR="00E37F96" w:rsidP="00E37F96" w:rsidRDefault="00E37F96" w14:paraId="7A8A8B8E" w14:textId="77777777">
      <w:pPr>
        <w:numPr>
          <w:ilvl w:val="1"/>
          <w:numId w:val="13"/>
        </w:numPr>
        <w:spacing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Příjemce je povinen uzavřít smlouvu podle </w:t>
      </w:r>
      <w:r w:rsidRPr="00E37F96">
        <w:rPr>
          <w:rFonts w:ascii="Arial" w:hAnsi="Arial" w:eastAsia="Arial" w:cs="Arial"/>
        </w:rPr>
        <w:t xml:space="preserve">čl. 28 odst. 4 Obecného nařízení o ochraně osobních údajů </w:t>
      </w:r>
      <w:r w:rsidRPr="00E37F96">
        <w:rPr>
          <w:rFonts w:ascii="Arial" w:hAnsi="Arial" w:eastAsia="Calibri" w:cs="Arial"/>
        </w:rPr>
        <w:t>s partnerem nebo s dodavatelem, pokud taková osoba má v souvislosti s realizací projektu zpracovávat osobní údaje podpořených osob. Stejnou povinnost má partner vůči svému dodavateli. Příjemce je povinen předem MPSV informovat o veškerých subjektech, které mají v projektu působit jako zpracovatelé osobních údajů. MPSV je oprávněno vyslovit vůči zapojení těchto subjektů jakožto zpracovatelů osobních údajů námitky.</w:t>
      </w:r>
    </w:p>
    <w:p w:rsidRPr="00E37F96" w:rsidR="00E37F96" w:rsidP="00E37F96" w:rsidRDefault="00E37F96" w14:paraId="3018B2C9" w14:textId="77777777">
      <w:pPr>
        <w:numPr>
          <w:ilvl w:val="1"/>
          <w:numId w:val="13"/>
        </w:numPr>
        <w:spacing w:after="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 xml:space="preserve">Smlouvy uzavírané podle </w:t>
      </w:r>
      <w:r w:rsidRPr="00E37F96">
        <w:rPr>
          <w:rFonts w:ascii="Arial" w:hAnsi="Arial" w:eastAsia="Arial" w:cs="Arial"/>
        </w:rPr>
        <w:t>čl. 28 odst. 4 Obecného nařízení o ochraně osobních údajů</w:t>
      </w:r>
      <w:r w:rsidRPr="00E37F96">
        <w:rPr>
          <w:rFonts w:ascii="Arial" w:hAnsi="Arial" w:eastAsia="Calibri" w:cs="Arial"/>
        </w:rPr>
        <w:t xml:space="preserve"> s partnerem, resp. s dodavatelem musí upravovat podmínky zpracování osobních údajů stejně jako podmínky stanovené v pověření příjemce v této části těchto Podmínek. </w:t>
      </w:r>
    </w:p>
    <w:p w:rsidRPr="00E37F96" w:rsidR="00E37F96" w:rsidP="00E37F96" w:rsidRDefault="00E37F96" w14:paraId="3E8F8796" w14:textId="77777777">
      <w:pPr>
        <w:numPr>
          <w:ilvl w:val="1"/>
          <w:numId w:val="13"/>
        </w:numPr>
        <w:spacing w:before="40" w:after="40" w:line="240" w:lineRule="auto"/>
        <w:jc w:val="both"/>
        <w:rPr>
          <w:rFonts w:ascii="Arial" w:hAnsi="Arial" w:eastAsia="Calibri" w:cs="Arial"/>
        </w:rPr>
      </w:pPr>
      <w:r w:rsidRPr="00E37F96">
        <w:rPr>
          <w:rFonts w:ascii="Arial" w:hAnsi="Arial" w:eastAsia="Calibri" w:cs="Arial"/>
        </w:rPr>
        <w:t>Neplní-li uvedený další zpracovatel své povinnosti v oblasti ochrany osobních údajů, odpovídá správci za plnění povinností dotčeného dalšího zpracovatele i nadále plně prvotní zpracovatel.</w:t>
      </w:r>
    </w:p>
    <w:p w:rsidRPr="00E37F96" w:rsidR="00E37F96" w:rsidP="00E37F96" w:rsidRDefault="00E37F96" w14:paraId="235152AC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E37F96" w:rsidR="00E37F96" w:rsidP="00E37F96" w:rsidRDefault="00E37F96" w14:paraId="01DD4769" w14:textId="77777777">
      <w:pPr>
        <w:shd w:val="clear" w:color="auto" w:fill="E8E8E8"/>
        <w:spacing w:after="220" w:line="240" w:lineRule="auto"/>
        <w:jc w:val="both"/>
        <w:rPr>
          <w:rFonts w:ascii="Arial" w:hAnsi="Arial" w:eastAsia="Arial" w:cs="Arial"/>
          <w:b/>
        </w:rPr>
      </w:pPr>
      <w:r w:rsidRPr="00E37F96">
        <w:rPr>
          <w:rFonts w:ascii="Arial" w:hAnsi="Arial" w:eastAsia="Arial" w:cs="Arial"/>
          <w:b/>
        </w:rPr>
        <w:t>Část VII – Závěrečná ustanovení</w:t>
      </w:r>
    </w:p>
    <w:p w:rsidRPr="00E37F96" w:rsidR="00E37F96" w:rsidP="00E37F96" w:rsidRDefault="00E37F96" w14:paraId="21094018" w14:textId="77777777">
      <w:pPr>
        <w:numPr>
          <w:ilvl w:val="0"/>
          <w:numId w:val="7"/>
        </w:numPr>
        <w:spacing w:before="120" w:after="60" w:line="240" w:lineRule="auto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iCs/>
          <w:snapToGrid w:val="false"/>
          <w:lang w:eastAsia="cs-CZ"/>
        </w:rPr>
        <w:t xml:space="preserve">Pojmy uvedené v těchto Podmínkách jsou používány ve smyslu, jak jsou definovány </w:t>
      </w:r>
      <w:r w:rsidRPr="00E37F96">
        <w:rPr>
          <w:rFonts w:ascii="Arial" w:hAnsi="Arial" w:eastAsia="Times New Roman" w:cs="Arial"/>
          <w:lang w:eastAsia="cs-CZ"/>
        </w:rPr>
        <w:t>v Pravidlech OPZ</w:t>
      </w:r>
      <w:r w:rsidRPr="00E37F96">
        <w:rPr>
          <w:rFonts w:ascii="Arial" w:hAnsi="Arial" w:eastAsia="Times New Roman" w:cs="Arial"/>
          <w:iCs/>
          <w:snapToGrid w:val="false"/>
          <w:lang w:eastAsia="cs-CZ"/>
        </w:rPr>
        <w:t>.</w:t>
      </w:r>
    </w:p>
    <w:p w:rsidRPr="00E37F96" w:rsidR="00E37F96" w:rsidP="00E37F96" w:rsidRDefault="00E37F96" w14:paraId="7AEC8DFE" w14:textId="77777777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iCs/>
          <w:snapToGrid w:val="false"/>
          <w:lang w:eastAsia="cs-CZ"/>
        </w:rPr>
        <w:t>Podmínky se vyhotovují v elektronické verzi v prostředí infomačního systému MS2014+, MPSV i příjemce mají k vydaným Podmínkám přístup a mohou pořizovat výtisky tohoto dokumentu dle svých potřeb.</w:t>
      </w:r>
    </w:p>
    <w:p w:rsidRPr="00E37F96" w:rsidR="00E37F96" w:rsidP="00E37F96" w:rsidRDefault="00E37F96" w14:paraId="60103FBC" w14:textId="77777777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iCs/>
          <w:snapToGrid w:val="false"/>
          <w:lang w:eastAsia="cs-CZ"/>
        </w:rPr>
        <w:t>Příjemce je povinen řídit se při realizaci projektu ustanoveními příloh uvedených v bodě 4 této části Podmínek a dále dokumenty, které jsou zmíněny v části II bodě 1 těchto Podmínek.</w:t>
      </w:r>
    </w:p>
    <w:p w:rsidRPr="00E37F96" w:rsidR="00E37F96" w:rsidP="00E37F96" w:rsidRDefault="00E37F96" w14:paraId="6A69EFE1" w14:textId="77777777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iCs/>
          <w:snapToGrid w:val="false"/>
          <w:lang w:eastAsia="cs-CZ"/>
        </w:rPr>
        <w:t>Součástí Podmínek jsou tyto přílohy:</w:t>
      </w:r>
    </w:p>
    <w:p w:rsidRPr="00E37F96" w:rsidR="00E37F96" w:rsidP="00E37F96" w:rsidRDefault="00E37F96" w14:paraId="7D2469BE" w14:textId="77777777">
      <w:pPr>
        <w:numPr>
          <w:ilvl w:val="0"/>
          <w:numId w:val="2"/>
        </w:numPr>
        <w:spacing w:after="60" w:line="240" w:lineRule="auto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iCs/>
          <w:snapToGrid w:val="false"/>
          <w:lang w:eastAsia="cs-CZ"/>
        </w:rPr>
        <w:t>Příloha č. 1 – Informace o projektu (obsahuje klíčové aktivity, cílovou skupinu, rozpočet projektu, partnery, cílové hodnoty indikátorů výstupů a výsledků, finanční plán)</w:t>
      </w:r>
    </w:p>
    <w:p w:rsidRPr="00E37F96" w:rsidR="00E37F96" w:rsidP="00E37F96" w:rsidRDefault="00E37F96" w14:paraId="78F9AA83" w14:textId="77777777">
      <w:pPr>
        <w:numPr>
          <w:ilvl w:val="0"/>
          <w:numId w:val="2"/>
        </w:numPr>
        <w:spacing w:after="60" w:line="240" w:lineRule="auto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iCs/>
          <w:snapToGrid w:val="false"/>
          <w:lang w:eastAsia="cs-CZ"/>
        </w:rPr>
        <w:t xml:space="preserve">Příloha č. 2 – </w:t>
      </w:r>
      <w:r w:rsidRPr="00E37F96">
        <w:rPr>
          <w:rFonts w:ascii="Arial" w:hAnsi="Arial" w:eastAsia="Times New Roman" w:cs="Arial"/>
          <w:sz w:val="24"/>
          <w:szCs w:val="24"/>
          <w:lang w:eastAsia="cs-CZ"/>
        </w:rPr>
        <w:t>…</w:t>
      </w:r>
    </w:p>
    <w:p w:rsidRPr="00E37F96" w:rsidR="00E37F96" w:rsidP="00E37F96" w:rsidRDefault="00E37F96" w14:paraId="1D0F539C" w14:textId="77777777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E37F96">
        <w:rPr>
          <w:rFonts w:ascii="Arial" w:hAnsi="Arial" w:eastAsia="Times New Roman" w:cs="Arial"/>
          <w:lang w:eastAsia="cs-CZ"/>
        </w:rPr>
        <w:t xml:space="preserve">Veškeré změny Podmínek je možné provádět pouze na základě žádosti příjemce. Změny projektu lze provádět v režimu nepodstatné změny nebo podstatné změny. Podstatná změna ve vymezených případech dle Pravidel OPZ vyžaduje vydání rozhodnutí o změně těchto Podmínek, v ostatních vymezených případech dle Pravidel OPZ je podstatná změna schválena rozhodnutím MPSV, které je k dispozici v MS2014+. Nepodstatné změny lze provádět bez souhlasu MPSV. Podrobnosti stanoví Pravidla OPZ. </w:t>
      </w:r>
    </w:p>
    <w:p w:rsidRPr="00E37F96" w:rsidR="00E37F96" w:rsidP="00E37F96" w:rsidRDefault="00E37F96" w14:paraId="7007506D" w14:textId="77777777">
      <w:pPr>
        <w:spacing w:after="220" w:line="240" w:lineRule="auto"/>
        <w:jc w:val="both"/>
        <w:rPr>
          <w:rFonts w:ascii="Arial" w:hAnsi="Arial" w:eastAsia="Arial" w:cs="Arial"/>
        </w:rPr>
      </w:pPr>
    </w:p>
    <w:p w:rsidRPr="00E37F96" w:rsidR="00E37F96" w:rsidP="00E37F96" w:rsidRDefault="00E37F96" w14:paraId="63A54DBF" w14:textId="77777777">
      <w:pPr>
        <w:spacing w:after="220" w:line="240" w:lineRule="auto"/>
        <w:ind w:left="4248" w:firstLine="708"/>
        <w:jc w:val="both"/>
        <w:rPr>
          <w:rFonts w:ascii="Arial" w:hAnsi="Arial" w:eastAsia="Arial" w:cs="Arial"/>
        </w:rPr>
      </w:pPr>
      <w:r w:rsidRPr="00E37F96">
        <w:rPr>
          <w:rFonts w:ascii="Arial" w:hAnsi="Arial" w:eastAsia="Arial" w:cs="Arial"/>
        </w:rPr>
        <w:t>………………………………</w:t>
      </w:r>
    </w:p>
    <w:p w:rsidR="000F2E92" w:rsidP="00E37F96" w:rsidRDefault="00E37F96" w14:paraId="57A484CF" w14:textId="77777777">
      <w:pPr>
        <w:ind w:left="2124" w:firstLine="708"/>
      </w:pPr>
      <w:r w:rsidRPr="00E37F96">
        <w:rPr>
          <w:rFonts w:ascii="Arial" w:hAnsi="Arial" w:eastAsia="Arial" w:cs="Arial"/>
        </w:rPr>
        <w:t>(Uvedení jména a funkce osoby oprávněné vydat podmínky)</w:t>
      </w:r>
    </w:p>
    <w:sectPr w:rsidR="000F2E9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37F96" w:rsidP="00E37F96" w:rsidRDefault="00E37F96" w14:paraId="42EB1CEB" w14:textId="77777777">
      <w:pPr>
        <w:spacing w:after="0" w:line="240" w:lineRule="auto"/>
      </w:pPr>
      <w:r>
        <w:separator/>
      </w:r>
    </w:p>
  </w:endnote>
  <w:endnote w:type="continuationSeparator" w:id="0">
    <w:p w:rsidR="00E37F96" w:rsidP="00E37F96" w:rsidRDefault="00E37F96" w14:paraId="216446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85DC0" w:rsidRDefault="00D85DC0" w14:paraId="48A1E860" w14:textId="77525876">
    <w:pPr>
      <w:pStyle w:val="Zpat"/>
    </w:pPr>
  </w:p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Pr="00D85DC0" w:rsidR="00D85DC0" w:rsidTr="00C5422F" w14:paraId="2AC6133B" w14:textId="77777777">
      <w:tc>
        <w:tcPr>
          <w:tcW w:w="1667" w:type="pct"/>
          <w:shd w:val="clear" w:color="auto" w:fill="auto"/>
          <w:vAlign w:val="center"/>
        </w:tcPr>
        <w:p w:rsidR="00D85DC0" w:rsidP="00D85DC0" w:rsidRDefault="00D85DC0" w14:paraId="065C75F5" w14:textId="77777777">
          <w:pPr>
            <w:pStyle w:val="Tabulkatext"/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:rsidR="00D85DC0" w:rsidP="00D85DC0" w:rsidRDefault="00D85DC0" w14:paraId="2425EBA2" w14:textId="7FEE9BC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Pr="00D85DC0" w:rsidR="00D85DC0" w:rsidP="00D85DC0" w:rsidRDefault="00D85DC0" w14:paraId="5DCD5F18" w14:textId="5B8AFC01">
          <w:pPr>
            <w:pStyle w:val="Tabulkatext"/>
            <w:jc w:val="right"/>
            <w:rPr>
              <w:rFonts w:ascii="Arial" w:hAnsi="Arial" w:cs="Arial"/>
            </w:rPr>
          </w:pPr>
          <w:r w:rsidRPr="00D85DC0">
            <w:rPr>
              <w:rFonts w:ascii="Arial" w:hAnsi="Arial" w:cs="Arial"/>
            </w:rPr>
            <w:t xml:space="preserve">Strana: </w:t>
          </w:r>
          <w:r w:rsidRPr="00D85DC0">
            <w:rPr>
              <w:rFonts w:ascii="Arial" w:hAnsi="Arial" w:cs="Arial"/>
            </w:rPr>
            <w:fldChar w:fldCharType="begin"/>
          </w:r>
          <w:r w:rsidRPr="00D85DC0">
            <w:rPr>
              <w:rFonts w:ascii="Arial" w:hAnsi="Arial" w:cs="Arial"/>
            </w:rPr>
            <w:instrText xml:space="preserve"> PAGE   \* MERGEFORMAT </w:instrText>
          </w:r>
          <w:r w:rsidRPr="00D85DC0">
            <w:rPr>
              <w:rFonts w:ascii="Arial" w:hAnsi="Arial" w:cs="Arial"/>
            </w:rPr>
            <w:fldChar w:fldCharType="separate"/>
          </w:r>
          <w:r w:rsidR="00F45005">
            <w:rPr>
              <w:rFonts w:ascii="Arial" w:hAnsi="Arial" w:cs="Arial"/>
              <w:noProof/>
            </w:rPr>
            <w:t>1</w:t>
          </w:r>
          <w:r w:rsidRPr="00D85DC0">
            <w:rPr>
              <w:rFonts w:ascii="Arial" w:hAnsi="Arial" w:cs="Arial"/>
            </w:rPr>
            <w:fldChar w:fldCharType="end"/>
          </w:r>
          <w:r w:rsidRPr="00D85DC0">
            <w:rPr>
              <w:rFonts w:ascii="Arial" w:hAnsi="Arial" w:cs="Arial"/>
            </w:rPr>
            <w:t xml:space="preserve"> z </w:t>
          </w:r>
          <w:r w:rsidRPr="00D85DC0">
            <w:rPr>
              <w:rFonts w:ascii="Arial" w:hAnsi="Arial" w:cs="Arial"/>
            </w:rPr>
            <w:fldChar w:fldCharType="begin"/>
          </w:r>
          <w:r w:rsidRPr="00D85DC0">
            <w:rPr>
              <w:rFonts w:ascii="Arial" w:hAnsi="Arial" w:cs="Arial"/>
            </w:rPr>
            <w:instrText xml:space="preserve"> NUMPAGES   \* MERGEFORMAT </w:instrText>
          </w:r>
          <w:r w:rsidRPr="00D85DC0">
            <w:rPr>
              <w:rFonts w:ascii="Arial" w:hAnsi="Arial" w:cs="Arial"/>
            </w:rPr>
            <w:fldChar w:fldCharType="separate"/>
          </w:r>
          <w:r w:rsidR="00F45005">
            <w:rPr>
              <w:rFonts w:ascii="Arial" w:hAnsi="Arial" w:cs="Arial"/>
              <w:noProof/>
            </w:rPr>
            <w:t>1</w:t>
          </w:r>
          <w:r w:rsidRPr="00D85DC0">
            <w:rPr>
              <w:rFonts w:ascii="Arial" w:hAnsi="Arial" w:cs="Arial"/>
              <w:noProof/>
            </w:rPr>
            <w:fldChar w:fldCharType="end"/>
          </w:r>
        </w:p>
      </w:tc>
    </w:tr>
  </w:tbl>
  <w:p w:rsidR="00D85DC0" w:rsidRDefault="00D85DC0" w14:paraId="3EA0833F" w14:textId="5E22C7A8">
    <w:pPr>
      <w:pStyle w:val="Zpat"/>
    </w:pPr>
  </w:p>
  <w:p w:rsidR="00D85DC0" w:rsidRDefault="00D85DC0" w14:paraId="0B77CCC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37F96" w:rsidP="00E37F96" w:rsidRDefault="00E37F96" w14:paraId="38D27F76" w14:textId="77777777">
      <w:pPr>
        <w:spacing w:after="0" w:line="240" w:lineRule="auto"/>
      </w:pPr>
      <w:r>
        <w:separator/>
      </w:r>
    </w:p>
  </w:footnote>
  <w:footnote w:type="continuationSeparator" w:id="0">
    <w:p w:rsidR="00E37F96" w:rsidP="00E37F96" w:rsidRDefault="00E37F96" w14:paraId="4366D134" w14:textId="77777777">
      <w:pPr>
        <w:spacing w:after="0" w:line="240" w:lineRule="auto"/>
      </w:pPr>
      <w:r>
        <w:continuationSeparator/>
      </w:r>
    </w:p>
  </w:footnote>
  <w:footnote w:id="1">
    <w:p w:rsidRPr="00E37F96" w:rsidR="00E37F96" w:rsidP="00E37F96" w:rsidRDefault="00E37F96" w14:paraId="0E871679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Části textu podbarvené šedě znamenají podle kontextu nutnost doplnit požadované údaje, možnost doplnit jiný text nebo možnost nepoužít některá z ustanovení (ta, která nej</w:t>
      </w:r>
      <w:bookmarkStart w:name="_GoBack" w:id="0"/>
      <w:bookmarkEnd w:id="0"/>
      <w:r w:rsidRPr="00E37F96">
        <w:rPr>
          <w:rFonts w:ascii="Arial" w:hAnsi="Arial" w:cs="Arial"/>
          <w:sz w:val="18"/>
          <w:szCs w:val="18"/>
        </w:rPr>
        <w:t>sou v daném projektu relevantní).</w:t>
      </w:r>
    </w:p>
  </w:footnote>
  <w:footnote w:id="2">
    <w:p w:rsidRPr="00E37F96" w:rsidR="00E37F96" w:rsidP="00E37F96" w:rsidRDefault="00E37F96" w14:paraId="6F75D933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Stanovené procento nenavazuje na specifika projektu a projekt nepředstavuje žádné omezení či závazek.</w:t>
      </w:r>
    </w:p>
  </w:footnote>
  <w:footnote w:id="3">
    <w:p w:rsidRPr="00E37F96" w:rsidR="00E37F96" w:rsidP="00E37F96" w:rsidRDefault="00E37F96" w14:paraId="171A710A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Není-li uvedeno, že se jedná o jiný podíl.</w:t>
      </w:r>
    </w:p>
  </w:footnote>
  <w:footnote w:id="4">
    <w:p w:rsidRPr="00E37F96" w:rsidR="00E37F96" w:rsidP="00E37F96" w:rsidRDefault="00E37F96" w14:paraId="6C6F5BAE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Vyjadřuje podíl v rámci prostředků kalkulovaných pro méně rozvinuté regiony.</w:t>
      </w:r>
    </w:p>
  </w:footnote>
  <w:footnote w:id="5">
    <w:p w:rsidRPr="00E37F96" w:rsidR="00E37F96" w:rsidP="00E37F96" w:rsidRDefault="00E37F96" w14:paraId="071D1441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Vyjadřuje podíl v rámci prostředků kalkulovaných pro méně rozvinuté regiony.</w:t>
      </w:r>
    </w:p>
  </w:footnote>
  <w:footnote w:id="6">
    <w:p w:rsidRPr="00E37F96" w:rsidR="00E37F96" w:rsidP="00E37F96" w:rsidRDefault="00E37F96" w14:paraId="019EC6C7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Vyjadřuje podíl v rámci prostředků kalkulovaných pro více rozvinuté regiony.</w:t>
      </w:r>
    </w:p>
  </w:footnote>
  <w:footnote w:id="7">
    <w:p w:rsidR="00E37F96" w:rsidP="00E37F96" w:rsidRDefault="00E37F96" w14:paraId="433C6682" w14:textId="77777777">
      <w:pPr>
        <w:pStyle w:val="Textpoznpodarou"/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Vyjadřuje podíl v rámci prostředků kalkulovaných pro více rozvinuté regiony.</w:t>
      </w:r>
    </w:p>
  </w:footnote>
  <w:footnote w:id="8">
    <w:p w:rsidRPr="00E37F96" w:rsidR="00E37F96" w:rsidP="00E37F96" w:rsidRDefault="00E37F96" w14:paraId="7F355520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Vložit formulaci účelu podpory.</w:t>
      </w:r>
    </w:p>
  </w:footnote>
  <w:footnote w:id="9">
    <w:p w:rsidR="00E37F96" w:rsidP="00E37F96" w:rsidRDefault="00E37F96" w14:paraId="3C0FB85E" w14:textId="77777777">
      <w:pPr>
        <w:pStyle w:val="Textpoznpodarou"/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Doplňte příslušnou specifickou část pravidel pro žadatele a příjemce.</w:t>
      </w:r>
    </w:p>
  </w:footnote>
  <w:footnote w:id="10">
    <w:p w:rsidRPr="00E37F96" w:rsidR="00E37F96" w:rsidP="00E37F96" w:rsidRDefault="00E37F96" w14:paraId="4220BED9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Případně podle zvláštního zákona, pokud zvláštní zákon obsahuje vlastní úpravu vypořádání.</w:t>
      </w:r>
    </w:p>
  </w:footnote>
  <w:footnote w:id="11">
    <w:p w:rsidR="00E37F96" w:rsidP="00E37F96" w:rsidRDefault="00E37F96" w14:paraId="7D46565B" w14:textId="77777777">
      <w:pPr>
        <w:pStyle w:val="Textpoznpodarou"/>
        <w:tabs>
          <w:tab w:val="left" w:pos="-3969"/>
        </w:tabs>
        <w:jc w:val="both"/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 neoprávněné použití peněžních prostředků dle § 3 písm. e) zákona č. 218/2000 Sb., o rozpočtových pravidlech.</w:t>
      </w:r>
    </w:p>
  </w:footnote>
  <w:footnote w:id="12">
    <w:p w:rsidRPr="00E37F96" w:rsidR="00E37F96" w:rsidP="00E37F96" w:rsidRDefault="00E37F96" w14:paraId="0E6BE4DC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Ustanovení se použije, pouze pokud má příjemce v projektu alespoň jednoho partnera s finančním příspěvkem.</w:t>
      </w:r>
    </w:p>
  </w:footnote>
  <w:footnote w:id="13">
    <w:p w:rsidR="00E37F96" w:rsidP="00E37F96" w:rsidRDefault="00E37F96" w14:paraId="5C3792E1" w14:textId="77777777">
      <w:pPr>
        <w:pStyle w:val="Textpoznpodarou"/>
        <w:jc w:val="both"/>
      </w:pPr>
      <w:r w:rsidRPr="00E37F96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Lze doplnit i v negativním smyslu, tj. uvést činnosti, které byly v příslušné výzvě zakázány. Formuluje se univerzálně dle výzvy, nikoli dle konkrétní žádosti o podporu (příp. dle části výzvy, pokud výzva byla členěná na části a tyto části měly specificky vymezeny uváděné parametry).</w:t>
      </w:r>
    </w:p>
  </w:footnote>
  <w:footnote w:id="14">
    <w:p w:rsidRPr="00E37F96" w:rsidR="00E37F96" w:rsidP="00E37F96" w:rsidRDefault="00E37F96" w14:paraId="5B0A9C1A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Textaci je nutné upravit, pokud je s ohledem na zahájení realizace projektu před vydáním právního aktu nemožné dodržet standardní lhůty předložení zpráv.</w:t>
      </w:r>
    </w:p>
  </w:footnote>
  <w:footnote w:id="15">
    <w:p w:rsidRPr="00E37F96" w:rsidR="00E37F96" w:rsidP="00E37F96" w:rsidRDefault="00E37F96" w14:paraId="41136D88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E</w:t>
      </w:r>
      <w:r w:rsidRPr="00E37F96">
        <w:rPr>
          <w:rFonts w:ascii="Arial" w:hAnsi="Arial" w:cs="Arial"/>
          <w:snapToGrid w:val="false"/>
          <w:sz w:val="18"/>
          <w:szCs w:val="18"/>
        </w:rPr>
        <w:t>xistence veřejné podpory bude posouzena při zapojení subjektu do realizace projektu.</w:t>
      </w:r>
    </w:p>
  </w:footnote>
  <w:footnote w:id="16">
    <w:p w:rsidRPr="00E37F96" w:rsidR="00E37F96" w:rsidP="00E37F96" w:rsidRDefault="00E37F96" w14:paraId="215DDD50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Body relevantní pouze pro projekty, u nichž nelze vyloučit poskytování veřejné podpory či podpory de minimis dalším subjektům (mimo příjemce dotace a partnera s finančním příspěvkem). Upravte tento a následující body, pokud je s OSS v roli příjemci nastaven postup, že bude poskytování veřejné podpory a podpory de minimis zajišťovat.</w:t>
      </w:r>
    </w:p>
  </w:footnote>
  <w:footnote w:id="17">
    <w:p w:rsidR="00E37F96" w:rsidP="00E37F96" w:rsidRDefault="00E37F96" w14:paraId="290016E9" w14:textId="77777777">
      <w:pPr>
        <w:pStyle w:val="Textpoznpodarou"/>
        <w:jc w:val="both"/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Pouze pro projekty podpořené na základě výzev, u kterých poskytovatel stanovil povinné zpracování evaluačního plánu, evaluační zprávy a shrnutí sociální inovace.</w:t>
      </w:r>
    </w:p>
  </w:footnote>
  <w:footnote w:id="18">
    <w:p w:rsidRPr="00E37F96" w:rsidR="00E37F96" w:rsidP="00E37F96" w:rsidRDefault="00E37F96" w14:paraId="037BC21D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E37F96">
        <w:rPr>
          <w:rStyle w:val="Znakapoznpodarou"/>
          <w:rFonts w:ascii="Arial" w:hAnsi="Arial" w:cs="Arial"/>
          <w:sz w:val="18"/>
          <w:szCs w:val="18"/>
        </w:rPr>
        <w:footnoteRef/>
      </w:r>
      <w:r w:rsidRPr="00E37F96">
        <w:rPr>
          <w:rFonts w:ascii="Arial" w:hAnsi="Arial" w:cs="Arial"/>
          <w:sz w:val="18"/>
          <w:szCs w:val="18"/>
        </w:rPr>
        <w:t xml:space="preserve"> Při zpracování právního aktu lze formulaci odstranit bez náhrady nebo upravit způsobem, aby se vztahovala pouze k čerpání nebo pouze k indikátorům. Zpracovatel vychází při přípravě ze specifik daného projektu, resp. výzvy k předkládání žádostí o podporu.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>
    <w:nsid w:val="16712613"/>
    <w:multiLevelType w:val="multilevel"/>
    <w:tmpl w:val="A64E9774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16"/>
        <w:szCs w:val="16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292929" w:themeColor="accent3" w:themeShade="40"/>
        <w:sz w:val="20"/>
        <w:szCs w:val="20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  <w:sz w:val="20"/>
        <w:szCs w:val="20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B9BD5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hint="default" w:ascii="Symbol" w:hAnsi="Symbol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B9BD5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093A5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931DDD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5B04FC"/>
    <w:multiLevelType w:val="hybridMultilevel"/>
    <w:tmpl w:val="F06CFBFC"/>
    <w:lvl w:ilvl="0" w:tplc="9D5E8F88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  <w:vertAlign w:val="baseline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43654E7F"/>
    <w:multiLevelType w:val="hybridMultilevel"/>
    <w:tmpl w:val="8EA8297E"/>
    <w:lvl w:ilvl="0" w:tplc="1B724B8C">
      <w:start w:val="1"/>
      <w:numFmt w:val="lowerLetter"/>
      <w:lvlText w:val="%1)"/>
      <w:lvlJc w:val="left"/>
      <w:pPr>
        <w:ind w:left="567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287" w:hanging="360"/>
      </w:pPr>
    </w:lvl>
    <w:lvl w:ilvl="2" w:tplc="0405001B" w:tentative="true">
      <w:start w:val="1"/>
      <w:numFmt w:val="lowerRoman"/>
      <w:lvlText w:val="%3."/>
      <w:lvlJc w:val="right"/>
      <w:pPr>
        <w:ind w:left="2007" w:hanging="180"/>
      </w:pPr>
    </w:lvl>
    <w:lvl w:ilvl="3" w:tplc="0405000F" w:tentative="true">
      <w:start w:val="1"/>
      <w:numFmt w:val="decimal"/>
      <w:lvlText w:val="%4."/>
      <w:lvlJc w:val="left"/>
      <w:pPr>
        <w:ind w:left="2727" w:hanging="360"/>
      </w:pPr>
    </w:lvl>
    <w:lvl w:ilvl="4" w:tplc="04050019" w:tentative="true">
      <w:start w:val="1"/>
      <w:numFmt w:val="lowerLetter"/>
      <w:lvlText w:val="%5."/>
      <w:lvlJc w:val="left"/>
      <w:pPr>
        <w:ind w:left="3447" w:hanging="360"/>
      </w:pPr>
    </w:lvl>
    <w:lvl w:ilvl="5" w:tplc="0405001B" w:tentative="true">
      <w:start w:val="1"/>
      <w:numFmt w:val="lowerRoman"/>
      <w:lvlText w:val="%6."/>
      <w:lvlJc w:val="right"/>
      <w:pPr>
        <w:ind w:left="4167" w:hanging="180"/>
      </w:pPr>
    </w:lvl>
    <w:lvl w:ilvl="6" w:tplc="0405000F" w:tentative="true">
      <w:start w:val="1"/>
      <w:numFmt w:val="decimal"/>
      <w:lvlText w:val="%7."/>
      <w:lvlJc w:val="left"/>
      <w:pPr>
        <w:ind w:left="4887" w:hanging="360"/>
      </w:pPr>
    </w:lvl>
    <w:lvl w:ilvl="7" w:tplc="04050019" w:tentative="true">
      <w:start w:val="1"/>
      <w:numFmt w:val="lowerLetter"/>
      <w:lvlText w:val="%8."/>
      <w:lvlJc w:val="left"/>
      <w:pPr>
        <w:ind w:left="5607" w:hanging="360"/>
      </w:pPr>
    </w:lvl>
    <w:lvl w:ilvl="8" w:tplc="0405001B" w:tentative="true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445419C6"/>
    <w:multiLevelType w:val="hybridMultilevel"/>
    <w:tmpl w:val="142A09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96"/>
    <w:rsid w:val="000F2E92"/>
    <w:rsid w:val="001F4C33"/>
    <w:rsid w:val="00D85DC0"/>
    <w:rsid w:val="00E37F96"/>
    <w:rsid w:val="00F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4EDA46"/>
  <w15:docId w15:val="{46A49E04-1DEB-4700-87AF-EAA594B215A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F96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37F96"/>
    <w:rPr>
      <w:sz w:val="20"/>
      <w:szCs w:val="20"/>
    </w:rPr>
  </w:style>
  <w:style w:type="paragraph" w:styleId="Odrky1" w:customStyle="true">
    <w:name w:val="Odrážky 1"/>
    <w:basedOn w:val="Odstavecseseznamem"/>
    <w:uiPriority w:val="5"/>
    <w:qFormat/>
    <w:rsid w:val="00E37F96"/>
    <w:pPr>
      <w:numPr>
        <w:numId w:val="1"/>
      </w:numPr>
      <w:tabs>
        <w:tab w:val="clear" w:pos="397"/>
        <w:tab w:val="num" w:pos="360"/>
      </w:tabs>
      <w:spacing w:after="220" w:line="240" w:lineRule="auto"/>
      <w:ind w:left="720" w:firstLine="0"/>
      <w:jc w:val="both"/>
    </w:pPr>
  </w:style>
  <w:style w:type="paragraph" w:styleId="Odrky2" w:customStyle="true">
    <w:name w:val="Odrážky 2"/>
    <w:basedOn w:val="Odrky1"/>
    <w:uiPriority w:val="5"/>
    <w:qFormat/>
    <w:rsid w:val="00E37F96"/>
    <w:pPr>
      <w:numPr>
        <w:ilvl w:val="1"/>
      </w:numPr>
      <w:tabs>
        <w:tab w:val="clear" w:pos="794"/>
        <w:tab w:val="num" w:pos="360"/>
      </w:tabs>
    </w:pPr>
  </w:style>
  <w:style w:type="paragraph" w:styleId="Odrky3" w:customStyle="true">
    <w:name w:val="Odrážky 3"/>
    <w:basedOn w:val="Odrky2"/>
    <w:uiPriority w:val="5"/>
    <w:qFormat/>
    <w:rsid w:val="00E37F96"/>
    <w:pPr>
      <w:numPr>
        <w:ilvl w:val="2"/>
      </w:numPr>
      <w:tabs>
        <w:tab w:val="clear" w:pos="1191"/>
        <w:tab w:val="num" w:pos="360"/>
      </w:tabs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37F96"/>
    <w:rPr>
      <w:vertAlign w:val="superscript"/>
    </w:rPr>
  </w:style>
  <w:style w:type="paragraph" w:styleId="Odrky4" w:customStyle="true">
    <w:name w:val="Odrážky 4"/>
    <w:basedOn w:val="Odrky3"/>
    <w:uiPriority w:val="5"/>
    <w:qFormat/>
    <w:rsid w:val="00E37F96"/>
    <w:pPr>
      <w:numPr>
        <w:ilvl w:val="3"/>
      </w:numPr>
      <w:tabs>
        <w:tab w:val="clear" w:pos="1588"/>
        <w:tab w:val="num" w:pos="360"/>
      </w:tabs>
    </w:pPr>
  </w:style>
  <w:style w:type="paragraph" w:styleId="Odrky5" w:customStyle="true">
    <w:name w:val="Odrážky 5"/>
    <w:basedOn w:val="Odrky4"/>
    <w:uiPriority w:val="5"/>
    <w:qFormat/>
    <w:rsid w:val="00E37F96"/>
    <w:pPr>
      <w:numPr>
        <w:ilvl w:val="4"/>
      </w:numPr>
      <w:tabs>
        <w:tab w:val="clear" w:pos="1985"/>
        <w:tab w:val="num" w:pos="360"/>
      </w:tabs>
    </w:pPr>
  </w:style>
  <w:style w:type="paragraph" w:styleId="Odstavecseseznamem">
    <w:name w:val="List Paragraph"/>
    <w:basedOn w:val="Normln"/>
    <w:uiPriority w:val="34"/>
    <w:qFormat/>
    <w:rsid w:val="00E37F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5D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85DC0"/>
  </w:style>
  <w:style w:type="paragraph" w:styleId="Zpat">
    <w:name w:val="footer"/>
    <w:basedOn w:val="Normln"/>
    <w:link w:val="ZpatChar"/>
    <w:uiPriority w:val="99"/>
    <w:unhideWhenUsed/>
    <w:rsid w:val="00D85D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85DC0"/>
  </w:style>
  <w:style w:type="paragraph" w:styleId="Tabulkatext" w:customStyle="true">
    <w:name w:val="Tabulka text"/>
    <w:link w:val="TabulkatextChar"/>
    <w:uiPriority w:val="6"/>
    <w:qFormat/>
    <w:rsid w:val="00D85DC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5DC0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Mode="External" Target="http://www.esfcr.cz" Type="http://schemas.openxmlformats.org/officeDocument/2006/relationships/hyperlink" Id="rId11"/>
    <Relationship Target="styles.xml" Type="http://schemas.openxmlformats.org/officeDocument/2006/relationships/styles" Id="rId5"/>
    <Relationship TargetMode="External" Target="https://isir.justice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792C1-9608-407A-8AAB-6D0C6C10BC4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fed548f-0517-4d39-90e3-3947398480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AB02C0-A646-445B-BCA3-7957081BF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3D0D-EAB6-4437-ADAD-12F3ECB3269F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1</properties:Pages>
  <properties:Words>5146</properties:Words>
  <properties:Characters>30362</properties:Characters>
  <properties:Lines>253</properties:Lines>
  <properties:Paragraphs>70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35438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2020-04-23T17:23:00Z</dcterms:created>
  <dc:creator/>
  <dc:description/>
  <cp:keywords/>
  <cp:lastModifiedBy/>
  <dcterms:modified xmlns:xsi="http://www.w3.org/2001/XMLSchema-instance" xsi:type="dcterms:W3CDTF">2020-04-23T19:47:00Z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